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Advanced Ceramics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Advanced Materials &amp; Composites (Chemicals &amp; Materials)  </w:t>
      </w:r>
    </w:p>
    <w:p>
      <w:pPr/>
      <w:r>
        <w:rPr>
          <w:rFonts w:ascii="Helvetica Light" w:hAnsi="Helvetica Light" w:cs="Helvetica Light"/>
          <w:sz w:val="24"/>
          <w:sz-cs w:val="24"/>
        </w:rPr>
        <w:t xml:space="preserve">&gt; **Source:** [https://www.mordorintelligence.com/industry-reports/advanced-ceramics-market](https://www.mordorintelligence.com/industry-reports/advanced-ceramics-market)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105.12 billion |</w:t>
      </w:r>
    </w:p>
    <w:p>
      <w:pPr/>
      <w:r>
        <w:rPr>
          <w:rFonts w:ascii="Helvetica Light" w:hAnsi="Helvetica Light" w:cs="Helvetica Light"/>
          <w:sz w:val="24"/>
          <w:sz-cs w:val="24"/>
        </w:rPr>
        <w:t xml:space="preserve">| **Projected Forecast (2031)** | USD 105.12 billion |</w:t>
      </w:r>
    </w:p>
    <w:p>
      <w:pPr/>
      <w:r>
        <w:rPr>
          <w:rFonts w:ascii="Helvetica Light" w:hAnsi="Helvetica Light" w:cs="Helvetica Light"/>
          <w:sz w:val="24"/>
          <w:sz-cs w:val="24"/>
        </w:rPr>
        <w:t xml:space="preserve">| **Growth Rate (CAGR)** | 6.81 %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Advanced Ceramics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![Advanced Ceramics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![Advanced Ceramics Market Share by Class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![Advanced Ceramics Market Share by End-user Industry,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![Advanced Ceramics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![Advanced Ceramics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2026 - 2031 | </w:t>
      </w:r>
    </w:p>
    <w:p>
      <w:pPr/>
      <w:r>
        <w:rPr>
          <w:rFonts w:ascii="Helvetica Light" w:hAnsi="Helvetica Light" w:cs="Helvetica Light"/>
          <w:sz w:val="24"/>
          <w:sz-cs w:val="24"/>
        </w:rPr>
        <w:t xml:space="preserve">Market Size (2026) | USD 105.12 Billion | </w:t>
      </w:r>
    </w:p>
    <w:p>
      <w:pPr/>
      <w:r>
        <w:rPr>
          <w:rFonts w:ascii="Helvetica Light" w:hAnsi="Helvetica Light" w:cs="Helvetica Light"/>
          <w:sz w:val="24"/>
          <w:sz-cs w:val="24"/>
        </w:rPr>
        <w:t xml:space="preserve">Market Size (2031) | USD 146.13 Billion | </w:t>
      </w:r>
    </w:p>
    <w:p>
      <w:pPr/>
      <w:r>
        <w:rPr>
          <w:rFonts w:ascii="Helvetica Light" w:hAnsi="Helvetica Light" w:cs="Helvetica Light"/>
          <w:sz w:val="24"/>
          <w:sz-cs w:val="24"/>
        </w:rPr>
        <w:t xml:space="preserve">Growth Rate (2026 - 2031) | 6.81 % | </w:t>
      </w:r>
    </w:p>
    <w:p>
      <w:pPr/>
      <w:r>
        <w:rPr>
          <w:rFonts w:ascii="Helvetica Light" w:hAnsi="Helvetica Light" w:cs="Helvetica Light"/>
          <w:sz w:val="24"/>
          <w:sz-cs w:val="24"/>
        </w:rPr>
        <w:t xml:space="preserve">Fastest Growing Market | Asia-Pacific | </w:t>
      </w:r>
    </w:p>
    <w:p>
      <w:pPr/>
      <w:r>
        <w:rPr>
          <w:rFonts w:ascii="Helvetica Light" w:hAnsi="Helvetica Light" w:cs="Helvetica Light"/>
          <w:sz w:val="24"/>
          <w:sz-cs w:val="24"/>
        </w:rPr>
        <w:t xml:space="preserve">Largest Market | Asia-Pacific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Advanced Ceramics Market Analysis by Mordor IntelligenceThe Advanced Ceramics Market size is projected to expand from USD 99.17 billion in 2025 and USD 105.12 billion in 2026 to USD 146.13 billion by 2031, at a CAGR of 6.81% between 2026 and 2031. This steady ascent stems from the electrification of vehicles, demand for high-frequency power electronics, and sovereign-manufacturing directives that localize substrate output in the United States, the European Union, and China. Supply-chain realignment favors materials able to handle temperatures above 1,200 °C, extend component life, and enable miniaturization in AI servers and 5G infrastructure. Manufacturers are widening portfolios to include piezoelectric titanates, aluminum nitride substrates, and zirconia-based bioceramics that win faster regulatory approvals. At the same time, capital-intensive sintering processes and limited recycling options temper near-term profitability, prompting incumbents to pursue efficiency gains and strategic partnerships.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material type, alumina captured 41.26% of the 2025 share; titanate ceramics hold the highest 7.82% CAGR outlook. </w:t>
      </w:r>
    </w:p>
    <w:p>
      <w:pPr/>
      <w:r>
        <w:rPr>
          <w:rFonts w:ascii="Helvetica Light" w:hAnsi="Helvetica Light" w:cs="Helvetica Light"/>
          <w:sz w:val="24"/>
          <w:sz-cs w:val="24"/>
        </w:rPr>
        <w:t xml:space="preserve">* By class type, monolithic products commanded 78.24% of 2025 revenue; ceramic matrix composites are pacing at an 8.84% CAGR. </w:t>
      </w:r>
    </w:p>
    <w:p>
      <w:pPr/>
      <w:r>
        <w:rPr>
          <w:rFonts w:ascii="Helvetica Light" w:hAnsi="Helvetica Light" w:cs="Helvetica Light"/>
          <w:sz w:val="24"/>
          <w:sz-cs w:val="24"/>
        </w:rPr>
        <w:t xml:space="preserve">* By application, electroceramics led with 45.31% of 2025 revenue, while bioceramics is advancing at an 8.79% CAGR through 2031. </w:t>
      </w:r>
    </w:p>
    <w:p>
      <w:pPr/>
      <w:r>
        <w:rPr>
          <w:rFonts w:ascii="Helvetica Light" w:hAnsi="Helvetica Light" w:cs="Helvetica Light"/>
          <w:sz w:val="24"/>
          <w:sz-cs w:val="24"/>
        </w:rPr>
        <w:t xml:space="preserve">* By end-user industry, electronics accounted for 44.56% of sales in 2025, whereas the medical segment is anticipated to post the fastest 11.87% CAGR to 2031. </w:t>
      </w:r>
    </w:p>
    <w:p>
      <w:pPr/>
      <w:r>
        <w:rPr>
          <w:rFonts w:ascii="Helvetica Light" w:hAnsi="Helvetica Light" w:cs="Helvetica Light"/>
          <w:sz w:val="24"/>
          <w:sz-cs w:val="24"/>
        </w:rPr>
        <w:t xml:space="preserve">* By geography, Asia-Pacific controlled 54.22% of 2025 turnover and is expanding at a 7.11% CAGR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Advanced Ceramics Market*Drivers | (~) % Impact on CAGR Forecast | Geographic Relevance | Impact Timeline | </w:t>
      </w:r>
    </w:p>
    <w:p>
      <w:pPr/>
      <w:r>
        <w:rPr>
          <w:rFonts w:ascii="Helvetica Light" w:hAnsi="Helvetica Light" w:cs="Helvetica Light"/>
          <w:sz w:val="24"/>
          <w:sz-cs w:val="24"/>
        </w:rPr>
        <w:t xml:space="preserve">Shift from metals and high-performance plastics | +1.2% | Asia-Pacific, North America | Medium term (2-4 years) | </w:t>
      </w:r>
    </w:p>
    <w:p>
      <w:pPr/>
      <w:r>
        <w:rPr>
          <w:rFonts w:ascii="Helvetica Light" w:hAnsi="Helvetica Light" w:cs="Helvetica Light"/>
          <w:sz w:val="24"/>
          <w:sz-cs w:val="24"/>
        </w:rPr>
        <w:t xml:space="preserve">Expanding use in medical implants and devices | +1.8% | North America, Europe, emerging Asia-Pacific | Long term (≥ 4 years) | </w:t>
      </w:r>
    </w:p>
    <w:p>
      <w:pPr/>
      <w:r>
        <w:rPr>
          <w:rFonts w:ascii="Helvetica Light" w:hAnsi="Helvetica Light" w:cs="Helvetica Light"/>
          <w:sz w:val="24"/>
          <w:sz-cs w:val="24"/>
        </w:rPr>
        <w:t xml:space="preserve">Demand in high-frequency power electronics | +1.5% | Asia-Pacific core, spill-over to North America | Short term (≤ 2 years) | </w:t>
      </w:r>
    </w:p>
    <w:p>
      <w:pPr/>
      <w:r>
        <w:rPr>
          <w:rFonts w:ascii="Helvetica Light" w:hAnsi="Helvetica Light" w:cs="Helvetica Light"/>
          <w:sz w:val="24"/>
          <w:sz-cs w:val="24"/>
        </w:rPr>
        <w:t xml:space="preserve">Rising aerospace and defense thermal needs | +1.1% | North America, Europe | Long term (≥ 4 years) | </w:t>
      </w:r>
    </w:p>
    <w:p>
      <w:pPr/>
      <w:r>
        <w:rPr>
          <w:rFonts w:ascii="Helvetica Light" w:hAnsi="Helvetica Light" w:cs="Helvetica Light"/>
          <w:sz w:val="24"/>
          <w:sz-cs w:val="24"/>
        </w:rPr>
        <w:t xml:space="preserve">Solid-state batteries and SOFC adoption | +1.0% | Global, early traction in Japan, Germany, California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advanced ceramics market is moderately fragmented. Japanese incumbents maintain powder-to-module vertical integration, giving them tight control of dielectric formulations and multilayer stacking accuracy. Murata’s 2025 roll-out of 0402-size capacitors with 100 V ratings for AI accelerator boards illustrates the edge gained from in-house material science. Kyocera expanded Kagoshima AlN capacity by 30% in 2025 to protect its share in EV inverter substrates.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Advanced Ceramics Industry Leaders* KYOCERA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CoorsTek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CeramTec GmbH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Morgan Advanced Materials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Saint-Gobain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For this study, the market covers engineered ceramic materials and parts that are designed for high-performance use. Adoption is driven by performance characteristics such as heat resistance, wear resistance, electrical behavior, and chemical stability.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Traditional clay-based structural ceramics and glass-ceramics are excluded from the market totals.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Material Type* Alumina</w:t>
      </w:r>
    </w:p>
    <w:p>
      <w:pPr/>
      <w:r>
        <w:rPr>
          <w:rFonts w:ascii="Helvetica Light" w:hAnsi="Helvetica Light" w:cs="Helvetica Light"/>
          <w:sz w:val="24"/>
          <w:sz-cs w:val="24"/>
        </w:rPr>
        <w:t xml:space="preserve">* Zirconia</w:t>
      </w:r>
    </w:p>
    <w:p>
      <w:pPr/>
      <w:r>
        <w:rPr>
          <w:rFonts w:ascii="Helvetica Light" w:hAnsi="Helvetica Light" w:cs="Helvetica Light"/>
          <w:sz w:val="24"/>
          <w:sz-cs w:val="24"/>
        </w:rPr>
        <w:t xml:space="preserve">* Titanate</w:t>
      </w:r>
    </w:p>
    <w:p>
      <w:pPr/>
      <w:r>
        <w:rPr>
          <w:rFonts w:ascii="Helvetica Light" w:hAnsi="Helvetica Light" w:cs="Helvetica Light"/>
          <w:sz w:val="24"/>
          <w:sz-cs w:val="24"/>
        </w:rPr>
        <w:t xml:space="preserve">* Silicon Carbide</w:t>
      </w:r>
    </w:p>
    <w:p>
      <w:pPr/>
      <w:r>
        <w:rPr>
          <w:rFonts w:ascii="Helvetica Light" w:hAnsi="Helvetica Light" w:cs="Helvetica Light"/>
          <w:sz w:val="24"/>
          <w:sz-cs w:val="24"/>
        </w:rPr>
        <w:t xml:space="preserve">* Silicon Nitride</w:t>
      </w:r>
    </w:p>
    <w:p>
      <w:pPr/>
      <w:r>
        <w:rPr>
          <w:rFonts w:ascii="Helvetica Light" w:hAnsi="Helvetica Light" w:cs="Helvetica Light"/>
          <w:sz w:val="24"/>
          <w:sz-cs w:val="24"/>
        </w:rPr>
        <w:t xml:space="preserve">* Aluminum Nitride</w:t>
      </w:r>
    </w:p>
    <w:p>
      <w:pPr/>
      <w:r>
        <w:rPr>
          <w:rFonts w:ascii="Helvetica Light" w:hAnsi="Helvetica Light" w:cs="Helvetica Light"/>
          <w:sz w:val="24"/>
          <w:sz-cs w:val="24"/>
        </w:rPr>
        <w:t xml:space="preserve">* Magnesium Silicate</w:t>
      </w:r>
    </w:p>
    <w:p>
      <w:pPr/>
      <w:r>
        <w:rPr>
          <w:rFonts w:ascii="Helvetica Light" w:hAnsi="Helvetica Light" w:cs="Helvetica Light"/>
          <w:sz w:val="24"/>
          <w:sz-cs w:val="24"/>
        </w:rPr>
        <w:t xml:space="preserve">* Pyrolytic Boron Nitride</w:t>
      </w:r>
    </w:p>
    <w:p>
      <w:pPr/>
      <w:r>
        <w:rPr>
          <w:rFonts w:ascii="Helvetica Light" w:hAnsi="Helvetica Light" w:cs="Helvetica Light"/>
          <w:sz w:val="24"/>
          <w:sz-cs w:val="24"/>
        </w:rPr>
        <w:t xml:space="preserve">* Others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Class Type* Monolithic Ceramics</w:t>
      </w:r>
    </w:p>
    <w:p>
      <w:pPr/>
      <w:r>
        <w:rPr>
          <w:rFonts w:ascii="Helvetica Light" w:hAnsi="Helvetica Light" w:cs="Helvetica Light"/>
          <w:sz w:val="24"/>
          <w:sz-cs w:val="24"/>
        </w:rPr>
        <w:t xml:space="preserve">* Ceramic Matrix Composites</w:t>
      </w:r>
    </w:p>
    <w:p>
      <w:pPr/>
      <w:r>
        <w:rPr>
          <w:rFonts w:ascii="Helvetica Light" w:hAnsi="Helvetica Light" w:cs="Helvetica Light"/>
          <w:sz w:val="24"/>
          <w:sz-cs w:val="24"/>
        </w:rPr>
        <w:t xml:space="preserve">* Ceramic Coatings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Application* Structural Ceramics</w:t>
      </w:r>
    </w:p>
    <w:p>
      <w:pPr/>
      <w:r>
        <w:rPr>
          <w:rFonts w:ascii="Helvetica Light" w:hAnsi="Helvetica Light" w:cs="Helvetica Light"/>
          <w:sz w:val="24"/>
          <w:sz-cs w:val="24"/>
        </w:rPr>
        <w:t xml:space="preserve">* Bioceramics</w:t>
      </w:r>
    </w:p>
    <w:p>
      <w:pPr/>
      <w:r>
        <w:rPr>
          <w:rFonts w:ascii="Helvetica Light" w:hAnsi="Helvetica Light" w:cs="Helvetica Light"/>
          <w:sz w:val="24"/>
          <w:sz-cs w:val="24"/>
        </w:rPr>
        <w:t xml:space="preserve">* Electroceramics</w:t>
      </w:r>
    </w:p>
    <w:p>
      <w:pPr/>
      <w:r>
        <w:rPr>
          <w:rFonts w:ascii="Helvetica Light" w:hAnsi="Helvetica Light" w:cs="Helvetica Light"/>
          <w:sz w:val="24"/>
          <w:sz-cs w:val="24"/>
        </w:rPr>
        <w:t xml:space="preserve">* Wear and Corrosion Components</w:t>
      </w:r>
    </w:p>
    <w:p>
      <w:pPr/>
      <w:r>
        <w:rPr>
          <w:rFonts w:ascii="Helvetica Light" w:hAnsi="Helvetica Light" w:cs="Helvetica Light"/>
          <w:sz w:val="24"/>
          <w:sz-cs w:val="24"/>
        </w:rPr>
        <w:t xml:space="preserve">* Thermal Barrier and UHTC Components</w:t>
      </w:r>
    </w:p>
    <w:p>
      <w:pPr/>
      <w:r>
        <w:rPr>
          <w:rFonts w:ascii="Helvetica Light" w:hAnsi="Helvetica Light" w:cs="Helvetica Light"/>
          <w:sz w:val="24"/>
          <w:sz-cs w:val="24"/>
        </w:rPr>
        <w:t xml:space="preserve">* Catalyst Supports and Filters</w:t>
      </w:r>
    </w:p>
    <w:p>
      <w:pPr/>
      <w:r>
        <w:rPr>
          <w:rFonts w:ascii="Helvetica Light" w:hAnsi="Helvetica Light" w:cs="Helvetica Light"/>
          <w:sz w:val="24"/>
          <w:sz-cs w:val="24"/>
        </w:rPr>
        <w:t xml:space="preserve">* Others (Environmental and Energy Systems)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End-user Industry* Electrical and Electronics</w:t>
      </w:r>
    </w:p>
    <w:p>
      <w:pPr/>
      <w:r>
        <w:rPr>
          <w:rFonts w:ascii="Helvetica Light" w:hAnsi="Helvetica Light" w:cs="Helvetica Light"/>
          <w:sz w:val="24"/>
          <w:sz-cs w:val="24"/>
        </w:rPr>
        <w:t xml:space="preserve">* Transportation</w:t>
      </w:r>
    </w:p>
    <w:p>
      <w:pPr/>
      <w:r>
        <w:rPr>
          <w:rFonts w:ascii="Helvetica Light" w:hAnsi="Helvetica Light" w:cs="Helvetica Light"/>
          <w:sz w:val="24"/>
          <w:sz-cs w:val="24"/>
        </w:rPr>
        <w:t xml:space="preserve">* Medical</w:t>
      </w:r>
    </w:p>
    <w:p>
      <w:pPr/>
      <w:r>
        <w:rPr>
          <w:rFonts w:ascii="Helvetica Light" w:hAnsi="Helvetica Light" w:cs="Helvetica Light"/>
          <w:sz w:val="24"/>
          <w:sz-cs w:val="24"/>
        </w:rPr>
        <w:t xml:space="preserve">* Industrial</w:t>
      </w:r>
    </w:p>
    <w:p>
      <w:pPr/>
      <w:r>
        <w:rPr>
          <w:rFonts w:ascii="Helvetica Light" w:hAnsi="Helvetica Light" w:cs="Helvetica Light"/>
          <w:sz w:val="24"/>
          <w:sz-cs w:val="24"/>
        </w:rPr>
        <w:t xml:space="preserve">* Defense and Security</w:t>
      </w:r>
    </w:p>
    <w:p>
      <w:pPr/>
      <w:r>
        <w:rPr>
          <w:rFonts w:ascii="Helvetica Light" w:hAnsi="Helvetica Light" w:cs="Helvetica Light"/>
          <w:sz w:val="24"/>
          <w:sz-cs w:val="24"/>
        </w:rPr>
        <w:t xml:space="preserve">* Chemical</w:t>
      </w:r>
    </w:p>
    <w:p>
      <w:pPr/>
      <w:r>
        <w:rPr>
          <w:rFonts w:ascii="Helvetica Light" w:hAnsi="Helvetica Light" w:cs="Helvetica Light"/>
          <w:sz w:val="24"/>
          <w:sz-cs w:val="24"/>
        </w:rPr>
        <w:t xml:space="preserve">* Other End-user Industries (Energy and Environmental)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Asia-Pacific* China</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North America*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Germany</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and Africa* Saudi Arabia</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value of the advanced ceramics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Advanced Ceramics Market size is projected to expand from USD 99.17 billion in 2025 and USD 105.12 billion in 2026 to USD 146.13 billion by 2031, at a CAGR of 6.81% between 2026 and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application accounts for the largest revenue?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Electroceramics, led by multilayer ceramic capacitors, generated 45.31% of 2025 revenue.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end-user industry is growing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medical industry segment is projected to post an 11.87% CAGR through 2031 due to wider adoption of zirconia-based orthopedic implants.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is Asia-Pacific so dominant in advanced ceramics?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region hosts vertically integrated giants like Kyocera and Murata and benefits from concentrated MLCC and EV-inverter supply chains.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hinders wider adoption of advanced ceramics?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High production costs above 1,600 °C sintering, complex capital-intensive processes, and limited recycling infrastructure restrain growth.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Are ceramic matrix composites gaining share?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Yes, CMCs are forecast to expand at an 8.84% CAGR through 2031 as aerospace and defense programs qualify hotter-running turbine components.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