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Machinery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[https://www.mordorintelligence.com/industry-reports/agricultural-machinery-market](https://www.mordorintelligence.com/industry-reports/agricultural-machinery-market)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193 billion |</w:t>
      </w:r>
    </w:p>
    <w:p>
      <w:pPr/>
      <w:r>
        <w:rPr>
          <w:rFonts w:ascii="Helvetica Light" w:hAnsi="Helvetica Light" w:cs="Helvetica Light"/>
          <w:sz w:val="24"/>
          <w:sz-cs w:val="24"/>
        </w:rPr>
        <w:t xml:space="preserve">| **Projected Forecast (2031)** | USD 193 billion |</w:t>
      </w:r>
    </w:p>
    <w:p>
      <w:pPr/>
      <w:r>
        <w:rPr>
          <w:rFonts w:ascii="Helvetica Light" w:hAnsi="Helvetica Light" w:cs="Helvetica Light"/>
          <w:sz w:val="24"/>
          <w:sz-cs w:val="24"/>
        </w:rPr>
        <w:t xml:space="preserve">| **Growth Rate (CAGR)** | 6.71 %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Machinery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Share by Automation Level,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193 Billion | </w:t>
      </w:r>
    </w:p>
    <w:p>
      <w:pPr/>
      <w:r>
        <w:rPr>
          <w:rFonts w:ascii="Helvetica Light" w:hAnsi="Helvetica Light" w:cs="Helvetica Light"/>
          <w:sz w:val="24"/>
          <w:sz-cs w:val="24"/>
        </w:rPr>
        <w:t xml:space="preserve">Market Size (2031) | USD 267 Billion | </w:t>
      </w:r>
    </w:p>
    <w:p>
      <w:pPr/>
      <w:r>
        <w:rPr>
          <w:rFonts w:ascii="Helvetica Light" w:hAnsi="Helvetica Light" w:cs="Helvetica Light"/>
          <w:sz w:val="24"/>
          <w:sz-cs w:val="24"/>
        </w:rPr>
        <w:t xml:space="preserve">Growth Rate (2026 - 2031) | 6.71 %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Market Analysis by Mordor IntelligenceThe agricultural machinery market size is projected to grow from USD 180.9 billion in 2025 to USD 193.0 billion in 2026 and USD 267.0 billion by 2031, registering a CAGR of 6.71% during 2026-2031. The market maintains a strong demand base due to challenges in securing farm labor, rising wage costs, and the need for higher output from fewer farms. According to the National Agricultural Statistics Service (NASS), Agricultural Statistics Board, United States Department of Agriculture (USDA), in the United States, the average gross wage for all hired farm workers reached USD 19.10 per hour in October 2024, a 3% increase from the previous year, further strengthening the economic rationale for mechanized field operations. Policy support for fleet renewal and digital adoption in major farming economies is also influencing the market. However, in early 2026, demand softened in North America and Europe, leading to delayed purchases rather than eliminating long-term replacement needs. Deere &amp; Company reported a net income of USD 656 million for the first quarter of fiscal year 2026, down from USD 869 million in the previous year, reflecting cyclical pressures currently affecting the agricultural machinery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tractors led with the largest 35.90% of the agricultural machinery market share in 2025, whereas the harvesting machinery segment is projected to expand at a 6.00% CAGR from 2026 to 2031.</w:t>
      </w:r>
    </w:p>
    <w:p>
      <w:pPr/>
      <w:r>
        <w:rPr>
          <w:rFonts w:ascii="Helvetica Light" w:hAnsi="Helvetica Light" w:cs="Helvetica Light"/>
          <w:sz w:val="24"/>
          <w:sz-cs w:val="24"/>
        </w:rPr>
        <w:t xml:space="preserve">* By automation level, manual equipment held the largest share of the agricultural machinery market size at 46.0% in 2025, while automatic systems recorded the fastest CAGR at 6.17% from 2026 to 2031.</w:t>
      </w:r>
    </w:p>
    <w:p>
      <w:pPr/>
      <w:r>
        <w:rPr>
          <w:rFonts w:ascii="Helvetica Light" w:hAnsi="Helvetica Light" w:cs="Helvetica Light"/>
          <w:sz w:val="24"/>
          <w:sz-cs w:val="24"/>
        </w:rPr>
        <w:t xml:space="preserve">* By geography, Asia-Pacific held the largest share of 36.8% in the agricultural machinery market in 2025, while North America recorded the fastest CAGR of 7.20%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Machinery Market*Driver | (~) % Impact on CAGR Forecast | Geographic Relevance | Impact Timeline | </w:t>
      </w:r>
    </w:p>
    <w:p>
      <w:pPr/>
      <w:r>
        <w:rPr>
          <w:rFonts w:ascii="Helvetica Light" w:hAnsi="Helvetica Light" w:cs="Helvetica Light"/>
          <w:sz w:val="24"/>
          <w:sz-cs w:val="24"/>
        </w:rPr>
        <w:t xml:space="preserve">Farm labor scarcity and wage inflation | +1.6% | Global, highest intensity in North America, Europe, and East Asia | Short term (≤ 2 years) | </w:t>
      </w:r>
    </w:p>
    <w:p>
      <w:pPr/>
      <w:r>
        <w:rPr>
          <w:rFonts w:ascii="Helvetica Light" w:hAnsi="Helvetica Light" w:cs="Helvetica Light"/>
          <w:sz w:val="24"/>
          <w:sz-cs w:val="24"/>
        </w:rPr>
        <w:t xml:space="preserve">Precision agriculture and telematics integration | +1.8% | Global, early adoption concentrated in North America and Europe, scaling in Asia-Pacific | Medium term (2-4 years) | </w:t>
      </w:r>
    </w:p>
    <w:p>
      <w:pPr/>
      <w:r>
        <w:rPr>
          <w:rFonts w:ascii="Helvetica Light" w:hAnsi="Helvetica Light" w:cs="Helvetica Light"/>
          <w:sz w:val="24"/>
          <w:sz-cs w:val="24"/>
        </w:rPr>
        <w:t xml:space="preserve">Subsidies and mechanization credit support | +1.3% | Asia-Pacific, South America, and North America | Short term (≤ 2 years) | </w:t>
      </w:r>
    </w:p>
    <w:p>
      <w:pPr/>
      <w:r>
        <w:rPr>
          <w:rFonts w:ascii="Helvetica Light" w:hAnsi="Helvetica Light" w:cs="Helvetica Light"/>
          <w:sz w:val="24"/>
          <w:sz-cs w:val="24"/>
        </w:rPr>
        <w:t xml:space="preserve">Farm consolidation and output-per-acre pressure | +1.0% | North America, Europe, and emerging areas of South America | Medium term (2-4 years) | </w:t>
      </w:r>
    </w:p>
    <w:p>
      <w:pPr/>
      <w:r>
        <w:rPr>
          <w:rFonts w:ascii="Helvetica Light" w:hAnsi="Helvetica Light" w:cs="Helvetica Light"/>
          <w:sz w:val="24"/>
          <w:sz-cs w:val="24"/>
        </w:rPr>
        <w:t xml:space="preserve">Custom hiring and equipment-as-a-service expansion | +0.7% | Global, with fastest uptake in South Asia and Sub-Saharan Africa | Medium term (2-4 years) | </w:t>
      </w:r>
    </w:p>
    <w:p>
      <w:pPr/>
      <w:r>
        <w:rPr>
          <w:rFonts w:ascii="Helvetica Light" w:hAnsi="Helvetica Light" w:cs="Helvetica Light"/>
          <w:sz w:val="24"/>
          <w:sz-cs w:val="24"/>
        </w:rPr>
        <w:t xml:space="preserve">Regenerative and low-emission equipment funding | +0.6% | North America, Europe, and South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machinery market is moderately fragmented. The leading group comprises the top five companies: Deere and Company, CNH Industrial N.V., AGCO Corporation, Kubota Corporation, and CLAAS KGaA mbH. These companies maintain their position through broad product portfolios, extensive dealer networks, financing capabilities, and increasing digital integration. Other established manufacturers, such as SDF S.p.A., Yanmar Holdings Co., Ltd., and Argo Tractors S.p.A., compete by leveraging regional expertise, product specialization, and a strong presence in specific agricultural equipment categories. Additionally, niche players, including irrigation specialists, India-focused tractor manufacturers, and implement companies, hold strong positions in particular segments. This multi-tiered structure promotes active competition while preventing the market from becoming highly concentrated.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intensifying in areas where precision software, automation, and recurring service revenue intersect with traditional equipment sales. AGCO Corporation’s PTx Trimble structure exemplifies this trend, providing a robust digital platform that complements its hardware offerings and extends into retrofit, guidance, and autonomy functions. Similarly, CLAAS KGaA mbH demonstrated its commitment to innovation by maintaining research and development spending at EUR 319.9 million (USD 346 million) in fiscal year 2025, despite a slight decline in overall revenue. These developments highlight that product leadership in the agricultural machinery market increasingly depends on automation and connectivity capabilities, alongside traditional factors like engine power and machine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machinery market is also creating opportunities for companies that can deliver advanced capabilities to farms unable to afford premium autonomous platforms. For instance, Mahindra and Mahindra Limited is defending its market share in India through rapid product updates. In March 2026, the company launched the Mahavator and Mahavator HD heavy-duty rotavator range and continued promoting orchard spraying solutions via its M.I.T.R.A platform. These initiatives suggest that the most sustainable competitive advantage lies in integrating machinery, software, agronomic data, and post-sale services to enhance farm outcomes throughout the entire operating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Machinery Industry Leaders*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Kubota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CLAAS KGaA 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Agricultural Machinery Market Report ScopeAgricultural machinery encompasses mechanical equipment and tools utilized in farming activities, including land preparation, planting, irrigation, crop protection, harvesting, and post-harvest processing. These machines enhance operational efficiency, minimize labor dependency, boost productivity, and facilitate large-scale modern agricultural practices across various crop systems. The Agricultural Machinery Market Report is segmented by type (tractors, soil preparation and cultivation machinery, planting and seeding machinery, harvesting machinery, spraying and crop protection machinery, hay and forage machinery, and irrigation machinery), by automation level (manual, semi-automatic, and automatic), and by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TypeTractors | By Horsepower | Less than 40 HP | </w:t>
      </w:r>
    </w:p>
    <w:p>
      <w:pPr/>
      <w:r>
        <w:rPr>
          <w:rFonts w:ascii="Helvetica Light" w:hAnsi="Helvetica Light" w:cs="Helvetica Light"/>
          <w:sz w:val="24"/>
          <w:sz-cs w:val="24"/>
        </w:rPr>
        <w:t xml:space="preserve"> | | 40 HP to 99 HP | </w:t>
      </w:r>
    </w:p>
    <w:p>
      <w:pPr/>
      <w:r>
        <w:rPr>
          <w:rFonts w:ascii="Helvetica Light" w:hAnsi="Helvetica Light" w:cs="Helvetica Light"/>
          <w:sz w:val="24"/>
          <w:sz-cs w:val="24"/>
        </w:rPr>
        <w:t xml:space="preserve"> | | 100 HP and Above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By Tractor Type | Compact Utility Tractors | </w:t>
      </w:r>
    </w:p>
    <w:p>
      <w:pPr/>
      <w:r>
        <w:rPr>
          <w:rFonts w:ascii="Helvetica Light" w:hAnsi="Helvetica Light" w:cs="Helvetica Light"/>
          <w:sz w:val="24"/>
          <w:sz-cs w:val="24"/>
        </w:rPr>
        <w:t xml:space="preserve"> | | Utility Tractors | </w:t>
      </w:r>
    </w:p>
    <w:p>
      <w:pPr/>
      <w:r>
        <w:rPr>
          <w:rFonts w:ascii="Helvetica Light" w:hAnsi="Helvetica Light" w:cs="Helvetica Light"/>
          <w:sz w:val="24"/>
          <w:sz-cs w:val="24"/>
        </w:rPr>
        <w:t xml:space="preserve"> | | Row Crop Tractors | </w:t>
      </w:r>
    </w:p>
    <w:p>
      <w:pPr/>
      <w:r>
        <w:rPr>
          <w:rFonts w:ascii="Helvetica Light" w:hAnsi="Helvetica Light" w:cs="Helvetica Light"/>
          <w:sz w:val="24"/>
          <w:sz-cs w:val="24"/>
        </w:rPr>
        <w:t xml:space="preserve"> | | Orchard and Vineyard Tractors | </w:t>
      </w:r>
    </w:p>
    <w:p>
      <w:pPr/>
      <w:r>
        <w:rPr>
          <w:rFonts w:ascii="Helvetica Light" w:hAnsi="Helvetica Light" w:cs="Helvetica Light"/>
          <w:sz w:val="24"/>
          <w:sz-cs w:val="24"/>
        </w:rPr>
        <w:t xml:space="preserve">Soil Preparation and Cultivation Machinery | Plows | </w:t>
      </w:r>
    </w:p>
    <w:p>
      <w:pPr/>
      <w:r>
        <w:rPr>
          <w:rFonts w:ascii="Helvetica Light" w:hAnsi="Helvetica Light" w:cs="Helvetica Light"/>
          <w:sz w:val="24"/>
          <w:sz-cs w:val="24"/>
        </w:rPr>
        <w:t xml:space="preserve"> | Harrows | </w:t>
      </w:r>
    </w:p>
    <w:p>
      <w:pPr/>
      <w:r>
        <w:rPr>
          <w:rFonts w:ascii="Helvetica Light" w:hAnsi="Helvetica Light" w:cs="Helvetica Light"/>
          <w:sz w:val="24"/>
          <w:sz-cs w:val="24"/>
        </w:rPr>
        <w:t xml:space="preserve"> | Cultivators and Tillers | </w:t>
      </w:r>
    </w:p>
    <w:p>
      <w:pPr/>
      <w:r>
        <w:rPr>
          <w:rFonts w:ascii="Helvetica Light" w:hAnsi="Helvetica Light" w:cs="Helvetica Light"/>
          <w:sz w:val="24"/>
          <w:sz-cs w:val="24"/>
        </w:rPr>
        <w:t xml:space="preserve">Planting and Seeding Machinery | Seed Drills | </w:t>
      </w:r>
    </w:p>
    <w:p>
      <w:pPr/>
      <w:r>
        <w:rPr>
          <w:rFonts w:ascii="Helvetica Light" w:hAnsi="Helvetica Light" w:cs="Helvetica Light"/>
          <w:sz w:val="24"/>
          <w:sz-cs w:val="24"/>
        </w:rPr>
        <w:t xml:space="preserve"> | Planters | </w:t>
      </w:r>
    </w:p>
    <w:p>
      <w:pPr/>
      <w:r>
        <w:rPr>
          <w:rFonts w:ascii="Helvetica Light" w:hAnsi="Helvetica Light" w:cs="Helvetica Light"/>
          <w:sz w:val="24"/>
          <w:sz-cs w:val="24"/>
        </w:rPr>
        <w:t xml:space="preserve"> | Broadcast Spreaders | </w:t>
      </w:r>
    </w:p>
    <w:p>
      <w:pPr/>
      <w:r>
        <w:rPr>
          <w:rFonts w:ascii="Helvetica Light" w:hAnsi="Helvetica Light" w:cs="Helvetica Light"/>
          <w:sz w:val="24"/>
          <w:sz-cs w:val="24"/>
        </w:rPr>
        <w:t xml:space="preserve"> | Transplanters | </w:t>
      </w:r>
    </w:p>
    <w:p>
      <w:pPr/>
      <w:r>
        <w:rPr>
          <w:rFonts w:ascii="Helvetica Light" w:hAnsi="Helvetica Light" w:cs="Helvetica Light"/>
          <w:sz w:val="24"/>
          <w:sz-cs w:val="24"/>
        </w:rPr>
        <w:t xml:space="preserve">Harvesting Machinery | Combine Harvesters and Threshers | </w:t>
      </w:r>
    </w:p>
    <w:p>
      <w:pPr/>
      <w:r>
        <w:rPr>
          <w:rFonts w:ascii="Helvetica Light" w:hAnsi="Helvetica Light" w:cs="Helvetica Light"/>
          <w:sz w:val="24"/>
          <w:sz-cs w:val="24"/>
        </w:rPr>
        <w:t xml:space="preserve"> | Forage Harvesters | </w:t>
      </w:r>
    </w:p>
    <w:p>
      <w:pPr/>
      <w:r>
        <w:rPr>
          <w:rFonts w:ascii="Helvetica Light" w:hAnsi="Helvetica Light" w:cs="Helvetica Light"/>
          <w:sz w:val="24"/>
          <w:sz-cs w:val="24"/>
        </w:rPr>
        <w:t xml:space="preserve"> | Specialty Crop Harvesters | </w:t>
      </w:r>
    </w:p>
    <w:p>
      <w:pPr/>
      <w:r>
        <w:rPr>
          <w:rFonts w:ascii="Helvetica Light" w:hAnsi="Helvetica Light" w:cs="Helvetica Light"/>
          <w:sz w:val="24"/>
          <w:sz-cs w:val="24"/>
        </w:rPr>
        <w:t xml:space="preserve">Spraying and Crop Protection Machinery | Self-Propelled Sprayers | </w:t>
      </w:r>
    </w:p>
    <w:p>
      <w:pPr/>
      <w:r>
        <w:rPr>
          <w:rFonts w:ascii="Helvetica Light" w:hAnsi="Helvetica Light" w:cs="Helvetica Light"/>
          <w:sz w:val="24"/>
          <w:sz-cs w:val="24"/>
        </w:rPr>
        <w:t xml:space="preserve"> | Trailed and Mounted Sprayers | </w:t>
      </w:r>
    </w:p>
    <w:p>
      <w:pPr/>
      <w:r>
        <w:rPr>
          <w:rFonts w:ascii="Helvetica Light" w:hAnsi="Helvetica Light" w:cs="Helvetica Light"/>
          <w:sz w:val="24"/>
          <w:sz-cs w:val="24"/>
        </w:rPr>
        <w:t xml:space="preserve"> | Aerial and Drone-Enabled Spraying Systems | </w:t>
      </w:r>
    </w:p>
    <w:p>
      <w:pPr/>
      <w:r>
        <w:rPr>
          <w:rFonts w:ascii="Helvetica Light" w:hAnsi="Helvetica Light" w:cs="Helvetica Light"/>
          <w:sz w:val="24"/>
          <w:sz-cs w:val="24"/>
        </w:rPr>
        <w:t xml:space="preserve">Hay and Forage Machinery | Mower-Conditioners | </w:t>
      </w:r>
    </w:p>
    <w:p>
      <w:pPr/>
      <w:r>
        <w:rPr>
          <w:rFonts w:ascii="Helvetica Light" w:hAnsi="Helvetica Light" w:cs="Helvetica Light"/>
          <w:sz w:val="24"/>
          <w:sz-cs w:val="24"/>
        </w:rPr>
        <w:t xml:space="preserve"> | Balers | </w:t>
      </w:r>
    </w:p>
    <w:p>
      <w:pPr/>
      <w:r>
        <w:rPr>
          <w:rFonts w:ascii="Helvetica Light" w:hAnsi="Helvetica Light" w:cs="Helvetica Light"/>
          <w:sz w:val="24"/>
          <w:sz-cs w:val="24"/>
        </w:rPr>
        <w:t xml:space="preserve"> | Rakes and Tedders | </w:t>
      </w:r>
    </w:p>
    <w:p>
      <w:pPr/>
      <w:r>
        <w:rPr>
          <w:rFonts w:ascii="Helvetica Light" w:hAnsi="Helvetica Light" w:cs="Helvetica Light"/>
          <w:sz w:val="24"/>
          <w:sz-cs w:val="24"/>
        </w:rPr>
        <w:t xml:space="preserve">Irrigation Machinery | Sprinkler Irrigation | </w:t>
      </w:r>
    </w:p>
    <w:p>
      <w:pPr/>
      <w:r>
        <w:rPr>
          <w:rFonts w:ascii="Helvetica Light" w:hAnsi="Helvetica Light" w:cs="Helvetica Light"/>
          <w:sz w:val="24"/>
          <w:sz-cs w:val="24"/>
        </w:rPr>
        <w:t xml:space="preserve"> | Drip Irrigation | </w:t>
      </w:r>
    </w:p>
    <w:p>
      <w:pPr/>
      <w:r>
        <w:rPr>
          <w:rFonts w:ascii="Helvetica Light" w:hAnsi="Helvetica Light" w:cs="Helvetica Light"/>
          <w:sz w:val="24"/>
          <w:sz-cs w:val="24"/>
        </w:rPr>
        <w:t xml:space="preserve"> | Mechanized Pivot Systems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agricultural machinery demand worldwide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machinery market stands at USD 193.0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global equipment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Tractors are the largest type segment, accounting for 35.9% of total market value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automation tier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Automatic systems are projected to grow at a 6.17%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farmers investing in more advanced equipment even during a weak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is tighter, wages are higher, and larger farms need more acres covered per pass, so the payback from efficient and connected machines is improving even when purchase timing is delayed.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