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Robots and Mechatronics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[https://www.mordorintelligence.com/industry-reports/agricultural-robots-and-mechatronics-market](https://www.mordorintelligence.com/industry-reports/agricultural-robots-and-mechatronics-market)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4.99 billion |</w:t>
      </w:r>
    </w:p>
    <w:p>
      <w:pPr/>
      <w:r>
        <w:rPr>
          <w:rFonts w:ascii="Helvetica Light" w:hAnsi="Helvetica Light" w:cs="Helvetica Light"/>
          <w:sz w:val="24"/>
          <w:sz-cs w:val="24"/>
        </w:rPr>
        <w:t xml:space="preserve">| **Projected Forecast (2031)** | USD 4.99 billion |</w:t>
      </w:r>
    </w:p>
    <w:p>
      <w:pPr/>
      <w:r>
        <w:rPr>
          <w:rFonts w:ascii="Helvetica Light" w:hAnsi="Helvetica Light" w:cs="Helvetica Light"/>
          <w:sz w:val="24"/>
          <w:sz-cs w:val="24"/>
        </w:rPr>
        <w:t xml:space="preserve">| **Growth Rate (CAGR)** | 15.95 %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Robots and Mechatronics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4.99 Billion | </w:t>
      </w:r>
    </w:p>
    <w:p>
      <w:pPr/>
      <w:r>
        <w:rPr>
          <w:rFonts w:ascii="Helvetica Light" w:hAnsi="Helvetica Light" w:cs="Helvetica Light"/>
          <w:sz w:val="24"/>
          <w:sz-cs w:val="24"/>
        </w:rPr>
        <w:t xml:space="preserve">Market Size (2031) | USD 10.45 Billion | </w:t>
      </w:r>
    </w:p>
    <w:p>
      <w:pPr/>
      <w:r>
        <w:rPr>
          <w:rFonts w:ascii="Helvetica Light" w:hAnsi="Helvetica Light" w:cs="Helvetica Light"/>
          <w:sz w:val="24"/>
          <w:sz-cs w:val="24"/>
        </w:rPr>
        <w:t xml:space="preserve">Growth Rate (2026 - 2031) | 15.95 %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Market Analysis by Mordor IntelligenceThe agricultural robots and mechatronics market size was valued at USD 4.30 billion in 2025 and estimated to grow from USD 4.99 billion in 2026 to reach USD 10.45 billion by 2031, at a CAGR of 15.95% during the forecast period (2026-2031). Persistent labor shortages, tightening environmental rules, and falling sensor prices are converting autonomy from an option to a necessity. Precision crop-level interventions that cut chemical inputs by up to 40% are becoming the new standard, while bundled software and data services are strengthening recurring-revenue streams. Regional specialists that focus on weed-laser, drone spraying, and livestock robots are exploiting white spaces that large original equipment manufacturers leave open. Intensifying competition is anticipated to accelerate technology cost declines below 15% per year, raising adoption among mid-size farms that historically lacked capital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autonomous tractors led with 37.40% of the market share of the agricultural robots and mechatronics market in 2025, and unmanned aerial vehicles are forecast to expand at a 21.90% CAGR through 2031.</w:t>
      </w:r>
    </w:p>
    <w:p>
      <w:pPr/>
      <w:r>
        <w:rPr>
          <w:rFonts w:ascii="Helvetica Light" w:hAnsi="Helvetica Light" w:cs="Helvetica Light"/>
          <w:sz w:val="24"/>
          <w:sz-cs w:val="24"/>
        </w:rPr>
        <w:t xml:space="preserve">* By application, crop production accounted for 41.55% of the market share of the agricultural robots and mechatronics market in 2025, and is projected to expand at a 17.90% CAGR through 2031.</w:t>
      </w:r>
    </w:p>
    <w:p>
      <w:pPr/>
      <w:r>
        <w:rPr>
          <w:rFonts w:ascii="Helvetica Light" w:hAnsi="Helvetica Light" w:cs="Helvetica Light"/>
          <w:sz w:val="24"/>
          <w:sz-cs w:val="24"/>
        </w:rPr>
        <w:t xml:space="preserve">* By geography, North America held 39.30% market share of the agricultural robots and mechatronics market in 2025, and Asia-Pacific is set to grow at a 19.60%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Robots and Mechatronics Market*Driver | (~) % Impact on CAGR Forecast | Geographic Relevance | Impact Timeline | </w:t>
      </w:r>
    </w:p>
    <w:p>
      <w:pPr/>
      <w:r>
        <w:rPr>
          <w:rFonts w:ascii="Helvetica Light" w:hAnsi="Helvetica Light" w:cs="Helvetica Light"/>
          <w:sz w:val="24"/>
          <w:sz-cs w:val="24"/>
        </w:rPr>
        <w:t xml:space="preserve">Advanced Vision-Artificial intelligence (AI) Enables Sub-Centimeter Weeding Accuracy | +2.8% | Global, with early adoption in North America and Western Europe | Medium term (2-4 years) | </w:t>
      </w:r>
    </w:p>
    <w:p>
      <w:pPr/>
      <w:r>
        <w:rPr>
          <w:rFonts w:ascii="Helvetica Light" w:hAnsi="Helvetica Light" w:cs="Helvetica Light"/>
          <w:sz w:val="24"/>
          <w:sz-cs w:val="24"/>
        </w:rPr>
        <w:t xml:space="preserve">Declining Light Detection and Ranging (LIDAR) and Multispectral Sensor Costs Cut Robot Prices | +2.5% | Global, benefiting Asia-Pacific and South America | Short term (≤ 2 years) | </w:t>
      </w:r>
    </w:p>
    <w:p>
      <w:pPr/>
      <w:r>
        <w:rPr>
          <w:rFonts w:ascii="Helvetica Light" w:hAnsi="Helvetica Light" w:cs="Helvetica Light"/>
          <w:sz w:val="24"/>
          <w:sz-cs w:val="24"/>
        </w:rPr>
        <w:t xml:space="preserve">Shortage and Cost of Labor | +2.1% | North America, Western Europe, and Australia | Long term (≥ 4 years) | </w:t>
      </w:r>
    </w:p>
    <w:p>
      <w:pPr/>
      <w:r>
        <w:rPr>
          <w:rFonts w:ascii="Helvetica Light" w:hAnsi="Helvetica Light" w:cs="Helvetica Light"/>
          <w:sz w:val="24"/>
          <w:sz-cs w:val="24"/>
        </w:rPr>
        <w:t xml:space="preserve">Robot-as-a-Service Financing Unlocks Small and Medium Farm Adoption | +1.9% | Asia-Pacific, South America, and Africa | Medium term (2-4 years) | </w:t>
      </w:r>
    </w:p>
    <w:p>
      <w:pPr/>
      <w:r>
        <w:rPr>
          <w:rFonts w:ascii="Helvetica Light" w:hAnsi="Helvetica Light" w:cs="Helvetica Light"/>
          <w:sz w:val="24"/>
          <w:sz-cs w:val="24"/>
        </w:rPr>
        <w:t xml:space="preserve">Government Smart-Farming Incentives and Carbon-Credit Schemes | +1.6% | Europe, North America, and China | Medium term (2-4 years) | </w:t>
      </w:r>
    </w:p>
    <w:p>
      <w:pPr/>
      <w:r>
        <w:rPr>
          <w:rFonts w:ascii="Helvetica Light" w:hAnsi="Helvetica Light" w:cs="Helvetica Light"/>
          <w:sz w:val="24"/>
          <w:sz-cs w:val="24"/>
        </w:rPr>
        <w:t xml:space="preserve">Agricultural Original Equipment Manufacturers (OEMs) Autonomy Roadmaps | +1.4% | Global, led by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exhibits moderate concentration, with key players accounting for a significant share of the projected 2024 revenue. Deere &amp; Company is enhancing vertical integration by combining hardware, autonomy kits, and its cloud platform, which now generates a notable portion of its precision-segment revenue through subscriptions. SZ DJI Technology Co., Ltd. holds a substantial share of the global drone spraying market but faces competition from bundled service offerings in the Asia-Pacific region. AGCO Corporation and CNH Industrial N.V. are focusing on open APIs to reduce integration challenges for mixed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Specialty-crop automation is attracting startups. Companies are deploying vision-based pickers that achieve high efficiency at reduced costs. Monarch Tractor’s electric MK-V, offered through a Robot-as-a-Service model, reduces ownership costs and appeals to organic producers seeking zero-emission certifications. Solar-powered weeders are extending operational shifts without requiring diesel, making them suitable for operations located far from supply depots.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Patent filings highlight strategic priorities within the market. Recent patents have focused on autonomy and implement interoperability. Compliance with ISO standards is increasingly influencing procurement decisions at large cooperatives. A key emerging area of competition is data monetization. Platforms that dominate agronomic intelligence, such as yield prediction, carbon documentation, and input optimization, are positioned to capture significant ecosystem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Robots and Mechatronics Industry Leaders*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Kubota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SZ DJI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market includes revenue generated from agricultural robots and mechatronics systems used to automate or assist farm operations, mainly across crop production and animal husbandry. It covers the associated hardware and integrated control elements sold into farms.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include general farm inputs or conventional machinery that lacks an autonomous or robotic mechatronics function.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Autonomous Tractors</w:t>
      </w:r>
    </w:p>
    <w:p>
      <w:pPr/>
      <w:r>
        <w:rPr>
          <w:rFonts w:ascii="Helvetica Light" w:hAnsi="Helvetica Light" w:cs="Helvetica Light"/>
          <w:sz w:val="24"/>
          <w:sz-cs w:val="24"/>
        </w:rPr>
        <w:t xml:space="preserve">* Unmanned Aerial Vehicles (UAVs)</w:t>
      </w:r>
    </w:p>
    <w:p>
      <w:pPr/>
      <w:r>
        <w:rPr>
          <w:rFonts w:ascii="Helvetica Light" w:hAnsi="Helvetica Light" w:cs="Helvetica Light"/>
          <w:sz w:val="24"/>
          <w:sz-cs w:val="24"/>
        </w:rPr>
        <w:t xml:space="preserve">* Milking Robots</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Crop Production</w:t>
      </w:r>
    </w:p>
    <w:p>
      <w:pPr/>
      <w:r>
        <w:rPr>
          <w:rFonts w:ascii="Helvetica Light" w:hAnsi="Helvetica Light" w:cs="Helvetica Light"/>
          <w:sz w:val="24"/>
          <w:sz-cs w:val="24"/>
        </w:rPr>
        <w:t xml:space="preserve">* Animal Husbandry</w:t>
      </w:r>
    </w:p>
    <w:p>
      <w:pPr/>
      <w:r>
        <w:rPr>
          <w:rFonts w:ascii="Helvetica Light" w:hAnsi="Helvetica Light" w:cs="Helvetica Light"/>
          <w:sz w:val="24"/>
          <w:sz-cs w:val="24"/>
        </w:rPr>
        <w:t xml:space="preserve">* Forest Control</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Spain</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the agricultural robots and mechatronics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robots and mechatronics market size is valued at USD 4.99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equipment segment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aerial vehicles are forecast to post a 21.90% CAGR, the quickest among all equipment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North America's share of total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accounted for 39.30% of 2025 revenue, the largest regional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business model helps small farms afford robotics?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Robot-as-a-Service leasing lets growers pay USD 20-50 per hectare, avoiding large capital outlays.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