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Infrastructure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https://www.mordorintelligence.com/industry-reports/ai-infrastructure-market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Infrastructure Market Size and ShareMarket OverviewStudy Period | 2020 - 2031 | </w:t>
      </w:r>
    </w:p>
    <w:p>
      <w:pPr/>
      <w:r>
        <w:rPr>
          <w:rFonts w:ascii="Helvetica" w:hAnsi="Helvetica" w:cs="Helvetica"/>
          <w:sz w:val="24"/>
          <w:sz-cs w:val="24"/>
          <w:spacing w:val="0"/>
          <w:color w:val="000000"/>
        </w:rPr>
        <w:t xml:space="preserve">Market Size (2026) | USD 101.17 Billion | </w:t>
      </w:r>
    </w:p>
    <w:p>
      <w:pPr/>
      <w:r>
        <w:rPr>
          <w:rFonts w:ascii="Helvetica" w:hAnsi="Helvetica" w:cs="Helvetica"/>
          <w:sz w:val="24"/>
          <w:sz-cs w:val="24"/>
          <w:spacing w:val="0"/>
          <w:color w:val="000000"/>
        </w:rPr>
        <w:t xml:space="preserve">Market Size (2031) | USD 202.48 Billion | </w:t>
      </w:r>
    </w:p>
    <w:p>
      <w:pPr/>
      <w:r>
        <w:rPr>
          <w:rFonts w:ascii="Helvetica" w:hAnsi="Helvetica" w:cs="Helvetica"/>
          <w:sz w:val="24"/>
          <w:sz-cs w:val="24"/>
          <w:spacing w:val="0"/>
          <w:color w:val="000000"/>
        </w:rPr>
        <w:t xml:space="preserve">Growth Rate (2026 - 2031) | 14.89 %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Infrastructure Market Analysis by Mordor IntelligenceMarket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infrastructure market size reached USD 101.17 billion in 2026 and is projected to reach USD 202.48 billion by 2031, reflecting a 14.89% CAGR over the forecast period. The expansion aligns with sustained allocations toward compute-intensive workloads, continued subsidy inflows for advanced semiconductor fabs, and a persistent premium on high-bandwidth memory that lengthens lead times for top-tier GPUs. Intensifying liquid-cooling adoption mitigates racks that now surpass 100 kilowatts, while export controls enacted by the United States in 2023 accelerate sovereign AI projects across the Middle East and Asia Pacific. Semiconductor policy has become a growth catalyst, as CHIPS-type incentives underpin fab expansions in the United States, Europe, and Japan. Hyperscalers, facing multi-year backlogs for NVIDIA H100 and H200 accelerators, have responded by pre-ordering next-generation devices and designing custom ASICs to secure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offering, hardware led with 68.42% of revenue in 2025; the software segment is forecast to expand at a 16.02% CAGR to 2031. </w:t>
      </w:r>
    </w:p>
    <w:p>
      <w:pPr/>
      <w:r>
        <w:rPr>
          <w:rFonts w:ascii="Helvetica" w:hAnsi="Helvetica" w:cs="Helvetica"/>
          <w:sz w:val="24"/>
          <w:sz-cs w:val="24"/>
          <w:spacing w:val="0"/>
          <w:color w:val="000000"/>
        </w:rPr>
        <w:t xml:space="preserve">* By deployment, on-premise architectures held 57.46% of the AI infrastructure market share in 2025, while cloud deployments are projected to advance at a 15.76% CAGR through 2031. </w:t>
      </w:r>
    </w:p>
    <w:p>
      <w:pPr/>
      <w:r>
        <w:rPr>
          <w:rFonts w:ascii="Helvetica" w:hAnsi="Helvetica" w:cs="Helvetica"/>
          <w:sz w:val="24"/>
          <w:sz-cs w:val="24"/>
          <w:spacing w:val="0"/>
          <w:color w:val="000000"/>
        </w:rPr>
        <w:t xml:space="preserve">* By end user, enterprises commanded 42.22% share of the AI infrastructure market size in 2025; cloud service providers represent the fastest-growing cohort at 15.24% CAGR to 2031. </w:t>
      </w:r>
    </w:p>
    <w:p>
      <w:pPr/>
      <w:r>
        <w:rPr>
          <w:rFonts w:ascii="Helvetica" w:hAnsi="Helvetica" w:cs="Helvetica"/>
          <w:sz w:val="24"/>
          <w:sz-cs w:val="24"/>
          <w:spacing w:val="0"/>
          <w:color w:val="000000"/>
        </w:rPr>
        <w:t xml:space="preserve">* By processor architecture, GPUs retained 88.82% of revenue in 2025, whereas FPGA and ASIC alternatives are poised to grow at 16.89% CAGR through 2031. </w:t>
      </w:r>
    </w:p>
    <w:p>
      <w:pPr/>
      <w:r>
        <w:rPr>
          <w:rFonts w:ascii="Helvetica" w:hAnsi="Helvetica" w:cs="Helvetica"/>
          <w:sz w:val="24"/>
          <w:sz-cs w:val="24"/>
          <w:spacing w:val="0"/>
          <w:color w:val="000000"/>
        </w:rPr>
        <w:t xml:space="preserve">* By geography, North America accounted for 39.56% of 2025 revenue; Asia Pacific is expected to expand at a 16.44% CAGR between 2026-2031.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AI Infrastructure Market*Driver | (~) % Impact on CAGR Forecast | Geographic Relevance | Impact Timeline | </w:t>
      </w:r>
    </w:p>
    <w:p>
      <w:pPr/>
      <w:r>
        <w:rPr>
          <w:rFonts w:ascii="Helvetica" w:hAnsi="Helvetica" w:cs="Helvetica"/>
          <w:sz w:val="24"/>
          <w:sz-cs w:val="24"/>
          <w:spacing w:val="0"/>
          <w:color w:val="000000"/>
        </w:rPr>
        <w:t xml:space="preserve">Soaring H100 and H200 GPU backlogs | +3.2% | Global, concentrated in North America and Asia Pacific | Medium term (2-4 years) | </w:t>
      </w:r>
    </w:p>
    <w:p>
      <w:pPr/>
      <w:r>
        <w:rPr>
          <w:rFonts w:ascii="Helvetica" w:hAnsi="Helvetica" w:cs="Helvetica"/>
          <w:sz w:val="24"/>
          <w:sz-cs w:val="24"/>
          <w:spacing w:val="0"/>
          <w:color w:val="000000"/>
        </w:rPr>
        <w:t xml:space="preserve">Rapid AI-specific network fabrics | +2.8% | Global, early adoption in North America and Europe | Medium term (2-4 years) | </w:t>
      </w:r>
    </w:p>
    <w:p>
      <w:pPr/>
      <w:r>
        <w:rPr>
          <w:rFonts w:ascii="Helvetica" w:hAnsi="Helvetica" w:cs="Helvetica"/>
          <w:sz w:val="24"/>
          <w:sz-cs w:val="24"/>
          <w:spacing w:val="0"/>
          <w:color w:val="000000"/>
        </w:rPr>
        <w:t xml:space="preserve">Energy-efficient liquid cooling adoption | +2.1% | Global, led by North America and Europe | Long term (â‰¥ 4 years) | </w:t>
      </w:r>
    </w:p>
    <w:p>
      <w:pPr/>
      <w:r>
        <w:rPr>
          <w:rFonts w:ascii="Helvetica" w:hAnsi="Helvetica" w:cs="Helvetica"/>
          <w:sz w:val="24"/>
          <w:sz-cs w:val="24"/>
          <w:spacing w:val="0"/>
          <w:color w:val="000000"/>
        </w:rPr>
        <w:t xml:space="preserve">Government CHIPS-type subsidies for AI fabs | +2.5% | North America, Europe, Asia Pacific | Long term (â‰¥ 4 years) | </w:t>
      </w:r>
    </w:p>
    <w:p>
      <w:pPr/>
      <w:r>
        <w:rPr>
          <w:rFonts w:ascii="Helvetica" w:hAnsi="Helvetica" w:cs="Helvetica"/>
          <w:sz w:val="24"/>
          <w:sz-cs w:val="24"/>
          <w:spacing w:val="0"/>
          <w:color w:val="000000"/>
        </w:rPr>
        <w:t xml:space="preserve">Cloud-native AI accelerator instances | +2.4% | Global, strongest in North America and Asia Pacific | Short term (â‰¤ 2 years) | </w:t>
      </w:r>
    </w:p>
    <w:p>
      <w:pPr/>
      <w:r>
        <w:rPr>
          <w:rFonts w:ascii="Helvetica" w:hAnsi="Helvetica" w:cs="Helvetica"/>
          <w:sz w:val="24"/>
          <w:sz-cs w:val="24"/>
          <w:spacing w:val="0"/>
          <w:color w:val="000000"/>
        </w:rPr>
        <w:t xml:space="preserve">Open-source AI framework optimization | +1.9% | Global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Soaring H100 and H200 GPU Backlogs Among HyperscalersNVIDIA reported that 2025 pre-orders for H100 and H200 devices tripled available supply, prompting Microsoft to earmark USD 80 billion for multi-year allocations and AWS to expand its infrastructure budget by USD 100 billion through 2028.[1]Microsoft Communications, â€œMicrosoft Announces USD 80 Billion AI Datacenter Investment,â€ Microsoft, microsoft.com High-bandwidth memory bottlenecks intensified the imbalance, as SK Hynix and Samsung controlled 95% of HBM3E output. Hyperscalers now co-design memory packaging directly with fabs, weakening the negotiating leverage of traditional GPU vendors. TSMCâ€™s 3-nanometer capacity remained oversubscribed, extending device lead times past 12 months and accelerating a pivot toward custom ASICs such as Google TPU v6e. Enterprises, facing unpredictable delivery schedules, increasingly rent guaranteed instances from cloud providers even when on-demand prices exceed USD 30 per hour for eight-GPU bundles.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AI-Specific Network Fabrics (InfiniBand NDR, Ethernet 800G)InfiniBand NDR operated at 400 Gbps and connected about 70% of 2025 AI training clusters, delivering latency that was 40% lower than traditional Ethernet.[2]NVIDIA Networking Team, â€œInfiniBand Solutions,â€ nvidia.com Hyperscalers, however, began evaluating 800 Gbps Ethernet as Broadcomâ€™s Tomahawk 5 and Spectrum-X switched traffic at competitive latencies with a 25% reduction in capital cost. Meta validated Ethernet performance by scaling its 10,000-GPU AI Research SuperCluster on 800 Gbps links, widening vendor choice and eroding InfiniBand lock-in. IEEE 802.3df work on 1.6 Tbps Ethernet continues, signaling more convergence between AI and standard data-center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Energy-Efficient Liquid Cooling AdoptionLiquid cooling penetration rose to 18% of AI racks in 2025 as power densities crossed 100 kilowatts, a threshold at which air systems struggle to remove heat. Direct-to-chip solutions lowered facility energy use by up to 40% and freed 60% of floor space compared with air-cooled equivalents. Microsoft piloted single-phase immersion baths that trimmed cooling infrastructure costs by 45% and expects to roll the approach across hyperscale campuses from 2026 onward. Regulatory incentives in the European Union, including looming carbon price mechanisms, reinforce adoption, whereas deployments in Asia Pacific lag due to lower electricity tariffs.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CHIPS-Type Subsidies for AI FabsThe United States allocated USD 52.7 billion for domestic semiconductor manufacturing, disbursing USD 8.5 billion to Intel, USD 6.6 billion to TSMC, and USD 6.4 billion to Samsung. Europe passed its EUR 43 billion (USD 47 billion) Chips Act to double regional wafer output by 2030. Japan set aside JPY 2 trillion (USD 13.5 billion) to back TSMCâ€™s Kumamoto plant and a 2-nanometer roadmap led by Rapidus. Subsidies accelerate advanced-packaging capacity and de-risk geopolitical concentration in Taiwan, yet the Semiconductor Industry Association projects a 67,000-person talent gap that may delay full utilization.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AI Infrastructure Market*Restraint | (~) % Impact on CAGR Forecast | Geographic Relevance | Impact Timeline | </w:t>
      </w:r>
    </w:p>
    <w:p>
      <w:pPr/>
      <w:r>
        <w:rPr>
          <w:rFonts w:ascii="Helvetica" w:hAnsi="Helvetica" w:cs="Helvetica"/>
          <w:sz w:val="24"/>
          <w:sz-cs w:val="24"/>
          <w:spacing w:val="0"/>
          <w:color w:val="000000"/>
        </w:rPr>
        <w:t xml:space="preserve">AI-class GPUs in chronic short supply through 2026 | -2.8% | Global, acute in Asia Pacific and Europe | Short term (â‰¤ 2 years) | </w:t>
      </w:r>
    </w:p>
    <w:p>
      <w:pPr/>
      <w:r>
        <w:rPr>
          <w:rFonts w:ascii="Helvetica" w:hAnsi="Helvetica" w:cs="Helvetica"/>
          <w:sz w:val="24"/>
          <w:sz-cs w:val="24"/>
          <w:spacing w:val="0"/>
          <w:color w:val="000000"/>
        </w:rPr>
        <w:t xml:space="preserve">400 V and 48 V power-conversion limits in legacy sites | -1.9% | Global, concentrated in North America and Europe | Medium term (2-4 years) | </w:t>
      </w:r>
    </w:p>
    <w:p>
      <w:pPr/>
      <w:r>
        <w:rPr>
          <w:rFonts w:ascii="Helvetica" w:hAnsi="Helvetica" w:cs="Helvetica"/>
          <w:sz w:val="24"/>
          <w:sz-cs w:val="24"/>
          <w:spacing w:val="0"/>
          <w:color w:val="000000"/>
        </w:rPr>
        <w:t xml:space="preserve">Sovereign-AI export controls | -2.3% | Global, most severe in Asia Pacific | Long term (â‰¥ 4 years) | </w:t>
      </w:r>
    </w:p>
    <w:p>
      <w:pPr/>
      <w:r>
        <w:rPr>
          <w:rFonts w:ascii="Helvetica" w:hAnsi="Helvetica" w:cs="Helvetica"/>
          <w:sz w:val="24"/>
          <w:sz-cs w:val="24"/>
          <w:spacing w:val="0"/>
          <w:color w:val="000000"/>
        </w:rPr>
        <w:t xml:space="preserve">Rising Scope-2 emissions compliance costs | -1.6% | Europe, emerging in North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AI-Class GPUs in Chronic Short Supply Through 2026Lead times for H200 cards lengthened past 52 weeks in 2025, while AMDâ€™s MI300X backlog mirrored the constraint.[3]Reuters Staff, â€œNVIDIA AI Chip Orders Exceed Supply, Lead Times Stretch,â€ Reuters, reuters.com CoWoS packaging capacity at TSMC hit 35,000 wafer starts per month, far below demand estimates above 100,000 equivalents. High-bandwidth memory remains scarce because each H100 device needs 80 GB of HBM3 stacked across five layers. Enterprises consequently delayed large-scale deployments and reprioritized model architectures that require fewer parameters. Cloud platforms countered by over-provisioning inventory, dropping utilization rates, and charging elevated spot prices, a tactic that distorts supply signals and suppresses near-term market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Sovereign-AI Export ControlsOctober 2023 regulations barred unlicensed shipment of NVIDIAâ€™s A100, H100, and H800 devices to China. China responded with a USD 50 billion chip program, and Huaweiâ€™s Ascend 910C achieved parity with A100 on some inference tests in 2025. The European Unionâ€™s AI Act adds EUR 5-15 million (USD 5.5-16.5 million) in compliance costs per cross-border deployment. Divergent standards risk a bifurcated ecosystem and elevate switching costs for international firms.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AI Infrastructure Market Segment AnalysisBy Offering:Software Gains as Inference Optimization Trumps Raw ComputeHardware commanded 68.42% of 2025 spending, reflecting capital-intensive GPU clusters, high-bandwidth memory, and NVMe fabrics that push rack densities beyond 100 kilowatts. Software is projected to rise at a 16.02% CAGR to 2031 as enterprises emphasize inferencing efficiency, model observability, and MLOps automation. Tools like Triton Inference Server compress latency by as much as 50% through quantization and kernel fusion. System vendors now bundle orchestration frameworks with observability dashboards, converting one-off licenses into subscriptions. The AI infrastructure market size attributed to software is therefore expanding faster than GPU capital investment, even though absolute spending on accelerators remains larger. Training workloads will stay GPU-centric, but inference is already moving toward purpose-built ASICs that lower total cost of ownership for production pipelines. Enterprises gaining cost relief redeploy freed budgets into data-quality initiatives and retrieval-augmented generation pipelines, pushing middleware adoption higher.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catalyst is the rise of large-language-model-as-a-service offerings that embed guardrails for content safety and bias mitigation. Vendors who package middleware with pre-trained models secure recurring revenue and deepen customer lock-in. Independent software providers respond by hardening open-source deployment stacks, ensuring that proprietary licensing does not impede model portability. The emergent dynamic elevates software gross margins toward 75%, well above hardware reselling levels, underscoring why investors favor code over silicon in later-stage funding rounds. The AI infrastructure market therefore shifts from a capital-expenditure cycle to a blended model where subscription revenue stabilizes earnings and mitigates hardware refresh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Deployment:Cloud Instances Erode On-Premise Moats Despite Sovereignty ConcernsOn-premise infrastructure held 57.46% of spending in 2025, driven by data-residency mandates and sectoral frameworks like HIPAA. Cloud deployments are forecast to grow at 15.76% CAGR as AWS Trainium2 and Google TPU v6e instances deliver multi-petaflop performance at favorable economics. The AI infrastructure market size associated with cloud offerings is thus expanding faster than enterprise capex, especially as hyperscalers standardize pay-per-inference pricing. Financial institutions that once insisted on sovereign hosting now pilot confidential-compute enclaves that keep encryption keys under customer control, reducing regulatory friction.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patterns proliferate as enterprises train sensitive models on-premise then shift inference to geographic edge nodes that lower latency for end users. Sovereign AI initiatives in Saudi Arabia and the United Arab Emirates inject more than USD 140 billion to build domestic hyperscale campuses, sustaining a countervailing demand for local deployments. Cloud providers accommodate sovereignty by offering dedicated regions with jurisdictionally ring-fenced networking, certifications, and auditing. Over the long term, however, hardware obsolescence cycles of 18-24 months tilt the cost curve toward shared infrastructure, compelling on-premise defenders to adopt modular designs that swap node boards without re-cabling entire halls.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User:Cloud Service Providers Outspend Enterprises to Lock In Competitive MoatsEnterprises accounted for 42.22% of the 2025 AI infrastructure market share, reflecting diversified use cases in manufacturing, retail, and professional services. Cloud service providers are projected to post 15.24% CAGR as hyperscalers pre-commit multi-billion-dollar blocks of HBM3E-attached accelerators. Bulk procurement secures lower unit prices, enabling hyperscalers to offer burstable training clusters at hourly rates still below the amortized cost of enterprise-owned equivalents. Government and defense agencies adopt air-gapped, top-secret enclosures that insulate classified workloads yet benefit from cloud-like management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weighing build versus rent must navigate capital risk, personnel shortages, and warranty uncertainty. A 1,000-GPU private cluster runs USD 15-30 million upfront and becomes partially obsolete inside two years, while subscription models convert that outlay into predictable operating expense. Hyperscalers compound the advantage with integrated data labeling, MLOps, and fine-tuning services. Governments, however, view AI sovereignty as strategic. Japanâ€™s Ministry of Defense budgeted JPY 500 billion (USD 3.4 billion) for indigenous systems, reflecting geopolitical urgency rather than mere cost considerations.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Processor Architecture:FPGA and ASIC Alternatives Challenge GPU Hegemony in InferenceGPUs controlled 88.82% of 2025 revenue due to the entrenched CUDA ecosystem and parallelism requirements of transformer training. FPGA and ASIC devices are forecast to expand at 16.89% CAGR as inference workloads prioritize energy efficiency and predictable latency. Intel Gaudi 3 delivers 50% better performance-per-watt than H100 for transformer inference, while Cerebras WSE-3 packs 900,000 cores on a wafer-scale die suited to physics simulations. Googleâ€™s TPU v6e already runs production inference at 2.5 times GPU energy efficiency.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infrastructure market therefore splinters between general-purpose GPUs and domain-specific ASICs. Custom silicon carries high non-recurring engineering costs, limiting feasibility to hyperscalers with trillions of inference queries per quarter. FPGAs serve a middle niche in telecommunications and automotive, where algorithms evolve rapidly and field-upgrade flexibility is crucial. Vendors now develop chiplet-based SoCs that interconnect via die-to-die links like UCIe, cutting time-to-market and allowing incremental memory upgrades. NVIDIAâ€™s acquisition of interposer IP and AMDâ€™s investment in chiplet packaging signal a future where modular substrates dilute single-vendor dominance.</w:t>
      </w:r>
    </w:p>
    <w:p>
      <w:pPr/>
      <w:r>
        <w:rPr>
          <w:rFonts w:ascii="Helvetica" w:hAnsi="Helvetica" w:cs="Helvetica"/>
          <w:sz w:val="24"/>
          <w:sz-cs w:val="24"/>
          <w:spacing w:val="0"/>
          <w:color w:val="000000"/>
        </w:rPr>
        <w:t xml:space="preserve">Geography AnalysisNorth America AI Infrastructure MarketNorth America commanded 39.56% of 2025 spending, supported by USD 52.7 billion in CHIPS Act grants and by hyperscalers that operate roughly 60% of global AI capacity. The Semiconductor Industry Association warns of a 67,000-worker talent shortage by 2030, which could slow fab ramp-ups even as capital is plentiful. Canada positions Toronto and Montreal as research hubs backed by supportive immigration policy, whereas Mexicoâ€™s grid reliability questions dampen large-scale build-outs. The United States Department of Defense awarded Amazon a USD 50 billion cloud contract, underscoring that sovereign security concerns coexist with a broader shift toward centrally managed compute.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AI Infrastructure MarketAsia Pacific is expected to grow at a 16.44% CAGR through 2031, propelled by Chinaâ€™s USD 50 billion semiconductor fund and Indiaâ€™s USD 15 billion hyperscaler commitments. Alibaba deployed 100,000 Huawei Ascend 910C accelerators in 2025, illustrating rapid indigenous progress despite export curbs. Japan allocated JPY 2 trillion (USD 13.5 billion) for TSMCâ€™s Kumamoto site and 2-nanometer R&amp;D to hedge geopolitical exposure. South Korea enjoys 95% share of HBM3E supply, an essential choke point in the AI supply chain. Australiaâ€™s high power tariffs limit hyperscale, but Sydney and Melbourne still attract colocation players looking for resilient connectivity to submarine cables.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Middle East AI Infrastructure MarketEuropeâ€™s growth moderates as AI Act compliance layers EUR 5-15 million (USD 5.5-16.5 million) in incremental cost per multi-nation deployment. Germany and France lead semiconductor subsidies, while Sweden leverages cold climate and hydroelectric power to tempt hyperscalers; Microsoft confirmed a USD 3.2 billion Stockholm campus for 2026. The United Kingdom confronts post-Brexit data transfer frictions that add latency and legal overhead to continent-wide services. Middle East sovereign wealth funds pledge USD 140 billion to converge energy advantage with AI ambitions, supporting Riyadh and Abu Dhabi data center corridors that operate largely outside Western export control regimes.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LandscapeAI infrastructure investment and procurement increasingly track AI governance and cross-border technology controls. In the European Union, the AI Act (Regulation (EU) 2024/1689) reaches key applicability in August 2026, raising compliance and documentation requirements that affect how AI systems are developed and deployed across member states and, in turn, where training and inference workloads are hosted. In the United States, Executive Order 14365 (December 2025) established a National Policy Framework for Artificial Intelligence, and NIST continues to publish AI standards and guidance that vendors use to structure assurance, risk management, and testing practices for enterprise and public-sector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Trade and national-security policy also shapes accelerator availability and sovereign build strategies. U.S. export controls, including the October 2023 restrictions on high-end AI chips to China referenced in the report context, continue to reshape procurement paths, while 2026 policy discussions also include tighter licensing postures and additional conditions tied to security guarantees and domestic investment. In parallel, the U.S. Department of Commerce advanced the American AI Exports Program in 2026, positioning full-stack AI exports (hardware, models, and cybersecurity) as a coordinated initiative that can influence where AI capacity is built and which ecosystems receive preferential access to compliant supply.</w:t>
      </w:r>
    </w:p>
    <w:p>
      <w:pPr/>
      <w:r>
        <w:rPr>
          <w:rFonts w:ascii="Helvetica" w:hAnsi="Helvetica" w:cs="Helvetica"/>
          <w:sz w:val="24"/>
          <w:sz-cs w:val="24"/>
          <w:spacing w:val="0"/>
          <w:color w:val="000000"/>
        </w:rPr>
        <w:t xml:space="preserve">Value Chain AnalysisThe AI infrastructure value chain runs from semiconductor materials and wafer fabrication through advanced packaging, HBM supply, server/OEM integration, high-speed networking, storage, power and cooling systems, data center build-out, and finally cloud and enterprise deployment software (orchestration, optimization, and MLOps). In 2025-2026, the most binding upstream constraints are advanced-node foundry capacity and packaging, with CoWoS-type advanced packaging and HBM3E allocations shaping which GPU and accelerator platforms can be delivered at scale and on what timelines. These constraints reinforce hyperscaler behavior described in the report context, including long-term pre-orders, deeper participation in packaging and memory planning, and a continued premium on high-bandwidth memory that extends lead times for top-tier accelerators.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data center delivery is increasingly limited by site power readiness rather than only server availability. Grid interconnection and upgrades (transformers, substations, and transmission and distribution work) introduce long lead times that can delay a meaningful portion of planned capacity, and they interact with the report context trend toward racks exceeding 100 kilowatts and higher liquid-cooling penetration. As a result, ecosystem coordination expands beyond chip and server vendors to include utilities, engineering and construction partners, colocation providers, and liquid-cooling specialists, with procurement decisions increasingly bundling compute, networking fabric (InfiniBand NDR and 800G Ethernet), and facility-level power and cooling as an integrated bill of materials.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Oligopolistic structure remains evident at the silicon layer, where NVIDIA captured roughly 80% of 2025 accelerator revenue and maintains a 4-million-developer CUDA moat. Hyperscalers responded by designing ASICs such as Google TPU v6e, AWS Trainium2, and Microsoft Maia 100 that should reach 20% of training hours by 2026, pressuring NVIDIAâ€™s list prices by up to 30% for bulk orders. AMDâ€™s MI325X leverages 288 GB of HBM3E to undercut H200 on price-per-gigabyte, finding early traction in Oracle Cloud deployments. Intelâ€™s Gaudi 3 emphasizes Ethernet connectivity, appealing to enterprises wary of single-vendor ecosystems.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interconnect layer witnesses consolidation around optical roadmaps, with Broadcomâ€™s Tomahawk 6 offering 1.6 Tbps switching that aligns with IEEE 802.3df milestones. Patent filings trend toward chiplets and die-to-die protocols like UCIe, indicating that modular integration could dilute incumbent advantages by shortening time-to-market for challengers. Triton Inference Server and Apache TVM hold growing mindshare, letting customers switch hardware without wholesale code rewrites, thereby eroding proprietary middleware margins. Edge inference, defined by sub-75-watt power budgets, attracts startups such as Tenstorrent and Graphcore, though deployments remain pilot-scale today.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Environmental scrutiny grows. European carbon mechanisms may add 5-8% to operating expenses by 2028, nudging providers toward renewable energy and liquid cooling. Hyperscalers lead renewable power purchase agreements exceeding 25 GW cumulative, putting sustainability on par with latency as a competitive factor. Talent scarcity also shapes rivalry; NVIDIA and AMD opened combined training academies for 30,000 engineers per year to defend ecosystem loyalty. Overall, competitive intensity rises, but architectural lock-in has begun to erode as open standards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Infrastructure Industry Leaders*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Micro Devices (AMD)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4.0.AI Infrastructure Market Companies Covered in this Report* NVIDIA Corporation</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Advanced Micro Devices (AMD)</w:t>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Hewlett Packard Enterprise</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Micron Technology, Inc.</w:t>
      </w:r>
    </w:p>
    <w:p>
      <w:pPr/>
      <w:r>
        <w:rPr>
          <w:rFonts w:ascii="Helvetica" w:hAnsi="Helvetica" w:cs="Helvetica"/>
          <w:sz w:val="24"/>
          <w:sz-cs w:val="24"/>
          <w:spacing w:val="0"/>
          <w:color w:val="000000"/>
        </w:rPr>
        <w:t xml:space="preserve">* Arm Holdings plc</w:t>
      </w:r>
    </w:p>
    <w:p>
      <w:pPr/>
      <w:r>
        <w:rPr>
          <w:rFonts w:ascii="Helvetica" w:hAnsi="Helvetica" w:cs="Helvetica"/>
          <w:sz w:val="24"/>
          <w:sz-cs w:val="24"/>
          <w:spacing w:val="0"/>
          <w:color w:val="000000"/>
        </w:rPr>
        <w:t xml:space="preserve">* Synopsys, Inc.</w:t>
      </w:r>
    </w:p>
    <w:p>
      <w:pPr/>
      <w:r>
        <w:rPr>
          <w:rFonts w:ascii="Helvetica" w:hAnsi="Helvetica" w:cs="Helvetica"/>
          <w:sz w:val="24"/>
          <w:sz-cs w:val="24"/>
          <w:spacing w:val="0"/>
          <w:color w:val="000000"/>
        </w:rPr>
        <w:t xml:space="preserve">* Baidu, Inc.</w:t>
      </w:r>
    </w:p>
    <w:p>
      <w:pPr/>
      <w:r>
        <w:rPr>
          <w:rFonts w:ascii="Helvetica" w:hAnsi="Helvetica" w:cs="Helvetica"/>
          <w:sz w:val="24"/>
          <w:sz-cs w:val="24"/>
          <w:spacing w:val="0"/>
          <w:color w:val="000000"/>
        </w:rPr>
        <w:t xml:space="preserve">* Alibaba Cloud</w:t>
      </w:r>
    </w:p>
    <w:p>
      <w:pPr/>
      <w:r>
        <w:rPr>
          <w:rFonts w:ascii="Helvetica" w:hAnsi="Helvetica" w:cs="Helvetica"/>
          <w:sz w:val="24"/>
          <w:sz-cs w:val="24"/>
          <w:spacing w:val="0"/>
          <w:color w:val="000000"/>
        </w:rPr>
        <w:t xml:space="preserve">* Tencent Cloud</w:t>
      </w:r>
    </w:p>
    <w:p>
      <w:pPr/>
      <w:r>
        <w:rPr>
          <w:rFonts w:ascii="Helvetica" w:hAnsi="Helvetica" w:cs="Helvetica"/>
          <w:sz w:val="24"/>
          <w:sz-cs w:val="24"/>
          <w:spacing w:val="0"/>
          <w:color w:val="000000"/>
        </w:rPr>
        <w:t xml:space="preserve">* Cerebras Systems</w:t>
      </w:r>
    </w:p>
    <w:p>
      <w:pPr/>
      <w:r>
        <w:rPr>
          <w:rFonts w:ascii="Helvetica" w:hAnsi="Helvetica" w:cs="Helvetica"/>
          <w:sz w:val="24"/>
          <w:sz-cs w:val="24"/>
          <w:spacing w:val="0"/>
          <w:color w:val="000000"/>
        </w:rPr>
        <w:t xml:space="preserve">* Graphcore</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Read Analysis of AI Infrastructure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Power-ready capacity and energy-integrated site development are emerging as key whitespace for AI infrastructure, as high-density training clusters shift from being typical data center loads to regionally significant grid anchors. Meta's announced expansion of the Hyperion AI campus in Richland Parish, Louisiana, to a 5 GW supercluster (July 2026) illustrates how hyperscale AI projects increasingly tie compute roadmaps to generation and transmission planning, favoring locations with scalable interconnection and permitting pathways. This shift also expands opportunity for liquid cooling and power distribution modernization in facilities that must accommodate racks above 100 kilowatts, aligning with the report context on liquid-cooling adoption and 400 V and 48 V limitations in legacy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is supply chain and architecture diversification across accelerators, packaging, and networking to reduce exposure to constrained GPU allocations and export-control frictions. The report context highlights chronic AI-class GPU short supply through 2026, extended lead times, and the growing role of custom ASICs (for example, Google TPU v6e and AWS Trainium2) alongside Ethernet-based fabrics competing with InfiniBand for large clusters. That environment supports alternative accelerator platforms (FPGA/ASIC options for inference), open optimization stacks such as Triton Inference Server and Apache TVM that improve portability, and OSAT and advanced packaging expansion that relieves CoWoS and HBM-related bottlenecks, enabling more predictable delivery for enterprises and cloud service providers.</w:t>
      </w:r>
    </w:p>
    <w:p>
      <w:pPr/>
      <w:r>
        <w:rPr>
          <w:rFonts w:ascii="Helvetica" w:hAnsi="Helvetica" w:cs="Helvetica"/>
          <w:sz w:val="24"/>
          <w:sz-cs w:val="24"/>
          <w:spacing w:val="0"/>
          <w:color w:val="000000"/>
        </w:rPr>
        <w:t xml:space="preserve">Recent Industry Developments in AI Infrastructure Market* July 2026: NVIDIA introduced a partner-oriented AI compute buildout approach that includes capital support and revenue-sharing structures for AI cloud providers building AI factories. The approach broadens NVIDIA's route-to-market beyond direct hardware sales by shaping how third-party clouds finance and monetize GPU capacity, strengthening its ecosystem influence while supply remains constrained.</w:t>
      </w:r>
    </w:p>
    <w:p>
      <w:pPr/>
      <w:r>
        <w:rPr>
          <w:rFonts w:ascii="Helvetica" w:hAnsi="Helvetica" w:cs="Helvetica"/>
          <w:sz w:val="24"/>
          <w:sz-cs w:val="24"/>
          <w:spacing w:val="0"/>
          <w:color w:val="000000"/>
        </w:rPr>
        <w:t xml:space="preserve">* June 2026: Microsoft confirmed its Fairwater AI campus in Mount Pleasant, Wisconsin, is operational, linking large-scale NVIDIA Blackwell-class GPU deployments over 800G Ethernet. The deployment underscores the shift toward campus-scale systems designed as unified supercomputers and highlights Ethernet's role as a cost and vendor-flexible alternative in AI cluster interconnects.</w:t>
      </w:r>
    </w:p>
    <w:p>
      <w:pPr/>
      <w:r>
        <w:rPr>
          <w:rFonts w:ascii="Helvetica" w:hAnsi="Helvetica" w:cs="Helvetica"/>
          <w:sz w:val="24"/>
          <w:sz-cs w:val="24"/>
          <w:spacing w:val="0"/>
          <w:color w:val="000000"/>
        </w:rPr>
        <w:t xml:space="preserve">* March 2026: AWS and NVIDIA announced an expanded strategic collaboration to deploy more than 1 million NVIDIA GPUs across AWS regions starting in 2026 through 2027. Multi-year volume commitments of this scale change procurement dynamics for accelerators and associated networking, memory, and cooling, while tightening competitive pressure on alternative silicon and smaller buyers seeking guaranteed capacity.</w:t>
      </w:r>
    </w:p>
    <w:p>
      <w:pPr/>
      <w:r>
        <w:rPr>
          <w:rFonts w:ascii="Helvetica" w:hAnsi="Helvetica" w:cs="Helvetica"/>
          <w:sz w:val="24"/>
          <w:sz-cs w:val="24"/>
          <w:spacing w:val="0"/>
          <w:color w:val="000000"/>
        </w:rPr>
        <w:t xml:space="preserve">Table of Contents for AI Infrastructure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Soaring H100/G100 GPU Backlogs Among Hyperscalers</w:t>
      </w:r>
    </w:p>
    <w:p>
      <w:pPr/>
      <w:r>
        <w:rPr>
          <w:rFonts w:ascii="Helvetica" w:hAnsi="Helvetica" w:cs="Helvetica"/>
          <w:sz w:val="24"/>
          <w:sz-cs w:val="24"/>
          <w:spacing w:val="0"/>
          <w:color w:val="000000"/>
        </w:rPr>
        <w:t xml:space="preserve">* 4.2.2 Rapid AI-Specific Network Fabrics (InfiniBand NDR, Ethernet 800 G)</w:t>
      </w:r>
    </w:p>
    <w:p>
      <w:pPr/>
      <w:r>
        <w:rPr>
          <w:rFonts w:ascii="Helvetica" w:hAnsi="Helvetica" w:cs="Helvetica"/>
          <w:sz w:val="24"/>
          <w:sz-cs w:val="24"/>
          <w:spacing w:val="0"/>
          <w:color w:val="000000"/>
        </w:rPr>
        <w:t xml:space="preserve">* 4.2.3 Energy-Efficient Liquid Cooling Adoption</w:t>
      </w:r>
    </w:p>
    <w:p>
      <w:pPr/>
      <w:r>
        <w:rPr>
          <w:rFonts w:ascii="Helvetica" w:hAnsi="Helvetica" w:cs="Helvetica"/>
          <w:sz w:val="24"/>
          <w:sz-cs w:val="24"/>
          <w:spacing w:val="0"/>
          <w:color w:val="000000"/>
        </w:rPr>
        <w:t xml:space="preserve">* 4.2.4 Government CHIPS-Type Subsidies for AI Fabs</w:t>
      </w:r>
    </w:p>
    <w:p>
      <w:pPr/>
      <w:r>
        <w:rPr>
          <w:rFonts w:ascii="Helvetica" w:hAnsi="Helvetica" w:cs="Helvetica"/>
          <w:sz w:val="24"/>
          <w:sz-cs w:val="24"/>
          <w:spacing w:val="0"/>
          <w:color w:val="000000"/>
        </w:rPr>
        <w:t xml:space="preserve">* 4.2.5 Cloud-Native AI Accelerator Instances Democratise Access</w:t>
      </w:r>
    </w:p>
    <w:p>
      <w:pPr/>
      <w:r>
        <w:rPr>
          <w:rFonts w:ascii="Helvetica" w:hAnsi="Helvetica" w:cs="Helvetica"/>
          <w:sz w:val="24"/>
          <w:sz-cs w:val="24"/>
          <w:spacing w:val="0"/>
          <w:color w:val="000000"/>
        </w:rPr>
        <w:t xml:space="preserve">* 4.2.6 Open-Source AI Framework Optimisation (e.g., Triton, TVM)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AI-Class GPUs in Chronic Short Supply Through 2026</w:t>
      </w:r>
    </w:p>
    <w:p>
      <w:pPr/>
      <w:r>
        <w:rPr>
          <w:rFonts w:ascii="Helvetica" w:hAnsi="Helvetica" w:cs="Helvetica"/>
          <w:sz w:val="24"/>
          <w:sz-cs w:val="24"/>
          <w:spacing w:val="0"/>
          <w:color w:val="000000"/>
        </w:rPr>
        <w:t xml:space="preserve">* 4.3.2 400 V / 48 V Power-Conversion Limitations in Legacy Data Centres</w:t>
      </w:r>
    </w:p>
    <w:p>
      <w:pPr/>
      <w:r>
        <w:rPr>
          <w:rFonts w:ascii="Helvetica" w:hAnsi="Helvetica" w:cs="Helvetica"/>
          <w:sz w:val="24"/>
          <w:sz-cs w:val="24"/>
          <w:spacing w:val="0"/>
          <w:color w:val="000000"/>
        </w:rPr>
        <w:t xml:space="preserve">* 4.3.3 Sovereign-AI Export Controls (US-China, EU)</w:t>
      </w:r>
    </w:p>
    <w:p>
      <w:pPr/>
      <w:r>
        <w:rPr>
          <w:rFonts w:ascii="Helvetica" w:hAnsi="Helvetica" w:cs="Helvetica"/>
          <w:sz w:val="24"/>
          <w:sz-cs w:val="24"/>
          <w:spacing w:val="0"/>
          <w:color w:val="000000"/>
        </w:rPr>
        <w:t xml:space="preserve">* 4.3.4 Rising Scope-2 Emissions Compliance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Offering* 5.1.1 Hardware</w:t>
      </w:r>
    </w:p>
    <w:p>
      <w:pPr/>
      <w:r>
        <w:rPr>
          <w:rFonts w:ascii="Helvetica" w:hAnsi="Helvetica" w:cs="Helvetica"/>
          <w:sz w:val="24"/>
          <w:sz-cs w:val="24"/>
          <w:spacing w:val="0"/>
          <w:color w:val="000000"/>
        </w:rPr>
        <w:t xml:space="preserve">* 5.1.1.1 Processor</w:t>
      </w:r>
    </w:p>
    <w:p>
      <w:pPr/>
      <w:r>
        <w:rPr>
          <w:rFonts w:ascii="Helvetica" w:hAnsi="Helvetica" w:cs="Helvetica"/>
          <w:sz w:val="24"/>
          <w:sz-cs w:val="24"/>
          <w:spacing w:val="0"/>
          <w:color w:val="000000"/>
        </w:rPr>
        <w:t xml:space="preserve">* 5.1.1.2 Storage</w:t>
      </w:r>
    </w:p>
    <w:p>
      <w:pPr/>
      <w:r>
        <w:rPr>
          <w:rFonts w:ascii="Helvetica" w:hAnsi="Helvetica" w:cs="Helvetica"/>
          <w:sz w:val="24"/>
          <w:sz-cs w:val="24"/>
          <w:spacing w:val="0"/>
          <w:color w:val="000000"/>
        </w:rPr>
        <w:t xml:space="preserve">* 5.1.1.3 Memory</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5.1.2.1 System Optimisation</w:t>
      </w:r>
    </w:p>
    <w:p>
      <w:pPr/>
      <w:r>
        <w:rPr>
          <w:rFonts w:ascii="Helvetica" w:hAnsi="Helvetica" w:cs="Helvetica"/>
          <w:sz w:val="24"/>
          <w:sz-cs w:val="24"/>
          <w:spacing w:val="0"/>
          <w:color w:val="000000"/>
        </w:rPr>
        <w:t xml:space="preserve">* 5.1.2.2 AI Middleware and MLOps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Enterprises</w:t>
      </w:r>
    </w:p>
    <w:p>
      <w:pPr/>
      <w:r>
        <w:rPr>
          <w:rFonts w:ascii="Helvetica" w:hAnsi="Helvetica" w:cs="Helvetica"/>
          <w:sz w:val="24"/>
          <w:sz-cs w:val="24"/>
          <w:spacing w:val="0"/>
          <w:color w:val="000000"/>
        </w:rPr>
        <w:t xml:space="preserve">* 5.3.2 Government and Defence</w:t>
      </w:r>
    </w:p>
    <w:p>
      <w:pPr/>
      <w:r>
        <w:rPr>
          <w:rFonts w:ascii="Helvetica" w:hAnsi="Helvetica" w:cs="Helvetica"/>
          <w:sz w:val="24"/>
          <w:sz-cs w:val="24"/>
          <w:spacing w:val="0"/>
          <w:color w:val="000000"/>
        </w:rPr>
        <w:t xml:space="preserve">* 5.3.3 Cloud Service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Processor Architecture* 5.4.1 CPU</w:t>
      </w:r>
    </w:p>
    <w:p>
      <w:pPr/>
      <w:r>
        <w:rPr>
          <w:rFonts w:ascii="Helvetica" w:hAnsi="Helvetica" w:cs="Helvetica"/>
          <w:sz w:val="24"/>
          <w:sz-cs w:val="24"/>
          <w:spacing w:val="0"/>
          <w:color w:val="000000"/>
        </w:rPr>
        <w:t xml:space="preserve">* 5.4.2 GPU</w:t>
      </w:r>
    </w:p>
    <w:p>
      <w:pPr/>
      <w:r>
        <w:rPr>
          <w:rFonts w:ascii="Helvetica" w:hAnsi="Helvetica" w:cs="Helvetica"/>
          <w:sz w:val="24"/>
          <w:sz-cs w:val="24"/>
          <w:spacing w:val="0"/>
          <w:color w:val="000000"/>
        </w:rPr>
        <w:t xml:space="preserve">* 5.4.3 FPGA/ASIC (TPU, Inferentia, Gaudi, Cerebras)</w:t>
      </w:r>
    </w:p>
    <w:p>
      <w:pPr/>
      <w:r>
        <w:rPr>
          <w:rFonts w:ascii="Helvetica" w:hAnsi="Helvetica" w:cs="Helvetica"/>
          <w:sz w:val="24"/>
          <w:sz-cs w:val="24"/>
          <w:spacing w:val="0"/>
          <w:color w:val="000000"/>
        </w:rPr>
        <w:t xml:space="preserve">* 5.4.4 Other Processor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United Kingdom</w:t>
      </w:r>
    </w:p>
    <w:p>
      <w:pPr/>
      <w:r>
        <w:rPr>
          <w:rFonts w:ascii="Helvetica" w:hAnsi="Helvetica" w:cs="Helvetica"/>
          <w:sz w:val="24"/>
          <w:sz-cs w:val="24"/>
          <w:spacing w:val="0"/>
          <w:color w:val="000000"/>
        </w:rPr>
        <w:t xml:space="preserve">* 5.5.3.2 Germany</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Sweden</w:t>
      </w:r>
    </w:p>
    <w:p>
      <w:pPr/>
      <w:r>
        <w:rPr>
          <w:rFonts w:ascii="Helvetica" w:hAnsi="Helvetica" w:cs="Helvetica"/>
          <w:sz w:val="24"/>
          <w:sz-cs w:val="24"/>
          <w:spacing w:val="0"/>
          <w:color w:val="000000"/>
        </w:rPr>
        <w:t xml:space="preserve">* 5.5.3.5 Rest of Europe</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Australia</w:t>
      </w:r>
    </w:p>
    <w:p>
      <w:pPr/>
      <w:r>
        <w:rPr>
          <w:rFonts w:ascii="Helvetica" w:hAnsi="Helvetica" w:cs="Helvetica"/>
          <w:sz w:val="24"/>
          <w:sz-cs w:val="24"/>
          <w:spacing w:val="0"/>
          <w:color w:val="000000"/>
        </w:rPr>
        <w:t xml:space="preserve">* 5.5.4.5 South Korea</w:t>
      </w:r>
    </w:p>
    <w:p>
      <w:pPr/>
      <w:r>
        <w:rPr>
          <w:rFonts w:ascii="Helvetica" w:hAnsi="Helvetica" w:cs="Helvetica"/>
          <w:sz w:val="24"/>
          <w:sz-cs w:val="24"/>
          <w:spacing w:val="0"/>
          <w:color w:val="000000"/>
        </w:rPr>
        <w:t xml:space="preserve">* 5.5.4.6 Rest of Asia 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Recent Developments)* 6.4.1 NVIDIA Corporation</w:t>
      </w:r>
    </w:p>
    <w:p>
      <w:pPr/>
      <w:r>
        <w:rPr>
          <w:rFonts w:ascii="Helvetica" w:hAnsi="Helvetica" w:cs="Helvetica"/>
          <w:sz w:val="24"/>
          <w:sz-cs w:val="24"/>
          <w:spacing w:val="0"/>
          <w:color w:val="000000"/>
        </w:rPr>
        <w:t xml:space="preserve">* 6.4.2 Intel Corporation</w:t>
      </w:r>
    </w:p>
    <w:p>
      <w:pPr/>
      <w:r>
        <w:rPr>
          <w:rFonts w:ascii="Helvetica" w:hAnsi="Helvetica" w:cs="Helvetica"/>
          <w:sz w:val="24"/>
          <w:sz-cs w:val="24"/>
          <w:spacing w:val="0"/>
          <w:color w:val="000000"/>
        </w:rPr>
        <w:t xml:space="preserve">* 6.4.3 Advanced Micro Devices (AMD)</w:t>
      </w:r>
    </w:p>
    <w:p>
      <w:pPr/>
      <w:r>
        <w:rPr>
          <w:rFonts w:ascii="Helvetica" w:hAnsi="Helvetica" w:cs="Helvetica"/>
          <w:sz w:val="24"/>
          <w:sz-cs w:val="24"/>
          <w:spacing w:val="0"/>
          <w:color w:val="000000"/>
        </w:rPr>
        <w:t xml:space="preserve">* 6.4.4 Amazon Web Services, Inc.</w:t>
      </w:r>
    </w:p>
    <w:p>
      <w:pPr/>
      <w:r>
        <w:rPr>
          <w:rFonts w:ascii="Helvetica" w:hAnsi="Helvetica" w:cs="Helvetica"/>
          <w:sz w:val="24"/>
          <w:sz-cs w:val="24"/>
          <w:spacing w:val="0"/>
          <w:color w:val="000000"/>
        </w:rPr>
        <w:t xml:space="preserve">* 6.4.5 Microsoft Corporation</w:t>
      </w:r>
    </w:p>
    <w:p>
      <w:pPr/>
      <w:r>
        <w:rPr>
          <w:rFonts w:ascii="Helvetica" w:hAnsi="Helvetica" w:cs="Helvetica"/>
          <w:sz w:val="24"/>
          <w:sz-cs w:val="24"/>
          <w:spacing w:val="0"/>
          <w:color w:val="000000"/>
        </w:rPr>
        <w:t xml:space="preserve">* 6.4.6 Google LLC</w:t>
      </w:r>
    </w:p>
    <w:p>
      <w:pPr/>
      <w:r>
        <w:rPr>
          <w:rFonts w:ascii="Helvetica" w:hAnsi="Helvetica" w:cs="Helvetica"/>
          <w:sz w:val="24"/>
          <w:sz-cs w:val="24"/>
          <w:spacing w:val="0"/>
          <w:color w:val="000000"/>
        </w:rPr>
        <w:t xml:space="preserve">* 6.4.7 IBM Corporation</w:t>
      </w:r>
    </w:p>
    <w:p>
      <w:pPr/>
      <w:r>
        <w:rPr>
          <w:rFonts w:ascii="Helvetica" w:hAnsi="Helvetica" w:cs="Helvetica"/>
          <w:sz w:val="24"/>
          <w:sz-cs w:val="24"/>
          <w:spacing w:val="0"/>
          <w:color w:val="000000"/>
        </w:rPr>
        <w:t xml:space="preserve">* 6.4.8 Cisco Systems, Inc.</w:t>
      </w:r>
    </w:p>
    <w:p>
      <w:pPr/>
      <w:r>
        <w:rPr>
          <w:rFonts w:ascii="Helvetica" w:hAnsi="Helvetica" w:cs="Helvetica"/>
          <w:sz w:val="24"/>
          <w:sz-cs w:val="24"/>
          <w:spacing w:val="0"/>
          <w:color w:val="000000"/>
        </w:rPr>
        <w:t xml:space="preserve">* 6.4.9 Hewlett Packard Enterprise</w:t>
      </w:r>
    </w:p>
    <w:p>
      <w:pPr/>
      <w:r>
        <w:rPr>
          <w:rFonts w:ascii="Helvetica" w:hAnsi="Helvetica" w:cs="Helvetica"/>
          <w:sz w:val="24"/>
          <w:sz-cs w:val="24"/>
          <w:spacing w:val="0"/>
          <w:color w:val="000000"/>
        </w:rPr>
        <w:t xml:space="preserve">* 6.4.10 Dell Technologies, Inc.</w:t>
      </w:r>
    </w:p>
    <w:p>
      <w:pPr/>
      <w:r>
        <w:rPr>
          <w:rFonts w:ascii="Helvetica" w:hAnsi="Helvetica" w:cs="Helvetica"/>
          <w:sz w:val="24"/>
          <w:sz-cs w:val="24"/>
          <w:spacing w:val="0"/>
          <w:color w:val="000000"/>
        </w:rPr>
        <w:t xml:space="preserve">* 6.4.11 Samsung Electronics Co., Ltd.</w:t>
      </w:r>
    </w:p>
    <w:p>
      <w:pPr/>
      <w:r>
        <w:rPr>
          <w:rFonts w:ascii="Helvetica" w:hAnsi="Helvetica" w:cs="Helvetica"/>
          <w:sz w:val="24"/>
          <w:sz-cs w:val="24"/>
          <w:spacing w:val="0"/>
          <w:color w:val="000000"/>
        </w:rPr>
        <w:t xml:space="preserve">* 6.4.12 Micron Technology, Inc.</w:t>
      </w:r>
    </w:p>
    <w:p>
      <w:pPr/>
      <w:r>
        <w:rPr>
          <w:rFonts w:ascii="Helvetica" w:hAnsi="Helvetica" w:cs="Helvetica"/>
          <w:sz w:val="24"/>
          <w:sz-cs w:val="24"/>
          <w:spacing w:val="0"/>
          <w:color w:val="000000"/>
        </w:rPr>
        <w:t xml:space="preserve">* 6.4.13 Arm Holdings plc</w:t>
      </w:r>
    </w:p>
    <w:p>
      <w:pPr/>
      <w:r>
        <w:rPr>
          <w:rFonts w:ascii="Helvetica" w:hAnsi="Helvetica" w:cs="Helvetica"/>
          <w:sz w:val="24"/>
          <w:sz-cs w:val="24"/>
          <w:spacing w:val="0"/>
          <w:color w:val="000000"/>
        </w:rPr>
        <w:t xml:space="preserve">* 6.4.14 Synopsys, Inc.</w:t>
      </w:r>
    </w:p>
    <w:p>
      <w:pPr/>
      <w:r>
        <w:rPr>
          <w:rFonts w:ascii="Helvetica" w:hAnsi="Helvetica" w:cs="Helvetica"/>
          <w:sz w:val="24"/>
          <w:sz-cs w:val="24"/>
          <w:spacing w:val="0"/>
          <w:color w:val="000000"/>
        </w:rPr>
        <w:t xml:space="preserve">* 6.4.15 Baidu, Inc.</w:t>
      </w:r>
    </w:p>
    <w:p>
      <w:pPr/>
      <w:r>
        <w:rPr>
          <w:rFonts w:ascii="Helvetica" w:hAnsi="Helvetica" w:cs="Helvetica"/>
          <w:sz w:val="24"/>
          <w:sz-cs w:val="24"/>
          <w:spacing w:val="0"/>
          <w:color w:val="000000"/>
        </w:rPr>
        <w:t xml:space="preserve">* 6.4.16 Alibaba Cloud</w:t>
      </w:r>
    </w:p>
    <w:p>
      <w:pPr/>
      <w:r>
        <w:rPr>
          <w:rFonts w:ascii="Helvetica" w:hAnsi="Helvetica" w:cs="Helvetica"/>
          <w:sz w:val="24"/>
          <w:sz-cs w:val="24"/>
          <w:spacing w:val="0"/>
          <w:color w:val="000000"/>
        </w:rPr>
        <w:t xml:space="preserve">* 6.4.17 Tencent Cloud</w:t>
      </w:r>
    </w:p>
    <w:p>
      <w:pPr/>
      <w:r>
        <w:rPr>
          <w:rFonts w:ascii="Helvetica" w:hAnsi="Helvetica" w:cs="Helvetica"/>
          <w:sz w:val="24"/>
          <w:sz-cs w:val="24"/>
          <w:spacing w:val="0"/>
          <w:color w:val="000000"/>
        </w:rPr>
        <w:t xml:space="preserve">* 6.4.18 Cerebras Systems</w:t>
      </w:r>
    </w:p>
    <w:p>
      <w:pPr/>
      <w:r>
        <w:rPr>
          <w:rFonts w:ascii="Helvetica" w:hAnsi="Helvetica" w:cs="Helvetica"/>
          <w:sz w:val="24"/>
          <w:sz-cs w:val="24"/>
          <w:spacing w:val="0"/>
          <w:color w:val="000000"/>
        </w:rPr>
        <w:t xml:space="preserve">* 6.4.19 Graphcore</w:t>
      </w:r>
    </w:p>
    <w:p>
      <w:pPr/>
      <w:r>
        <w:rPr>
          <w:rFonts w:ascii="Helvetica" w:hAnsi="Helvetica" w:cs="Helvetica"/>
          <w:sz w:val="24"/>
          <w:sz-cs w:val="24"/>
          <w:spacing w:val="0"/>
          <w:color w:val="000000"/>
        </w:rPr>
        <w:t xml:space="preserve">* 6.4.20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AI Infrastructure Market Report Scope and Research MethodologyMarket Definition and CoverageThis market covers the spending and revenues linked to the infrastructure needed to train and run AI workloads at scale, including specialized compute, supporting storage and memory, and the system software layers that help deploy and optimize these workloads across data centers and cloud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consumer-grade edge devices and general IT services that are not directly tied to accelerating AI training or inference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Offering* Hardware* Processor</w:t>
      </w:r>
    </w:p>
    <w:p>
      <w:pPr/>
      <w:r>
        <w:rPr>
          <w:rFonts w:ascii="Helvetica" w:hAnsi="Helvetica" w:cs="Helvetica"/>
          <w:sz w:val="24"/>
          <w:sz-cs w:val="24"/>
          <w:spacing w:val="0"/>
          <w:color w:val="000000"/>
        </w:rPr>
        <w:t xml:space="preserve">* Storage</w:t>
      </w:r>
    </w:p>
    <w:p>
      <w:pPr/>
      <w:r>
        <w:rPr>
          <w:rFonts w:ascii="Helvetica" w:hAnsi="Helvetica" w:cs="Helvetica"/>
          <w:sz w:val="24"/>
          <w:sz-cs w:val="24"/>
          <w:spacing w:val="0"/>
          <w:color w:val="000000"/>
        </w:rPr>
        <w:t xml:space="preserve">* Memory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Software* System Optimisation</w:t>
      </w:r>
    </w:p>
    <w:p>
      <w:pPr/>
      <w:r>
        <w:rPr>
          <w:rFonts w:ascii="Helvetica" w:hAnsi="Helvetica" w:cs="Helvetica"/>
          <w:sz w:val="24"/>
          <w:sz-cs w:val="24"/>
          <w:spacing w:val="0"/>
          <w:color w:val="000000"/>
        </w:rPr>
        <w:t xml:space="preserve">* AI Middleware and MLOps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On-Premise</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Enterprises</w:t>
      </w:r>
    </w:p>
    <w:p>
      <w:pPr/>
      <w:r>
        <w:rPr>
          <w:rFonts w:ascii="Helvetica" w:hAnsi="Helvetica" w:cs="Helvetica"/>
          <w:sz w:val="24"/>
          <w:sz-cs w:val="24"/>
          <w:spacing w:val="0"/>
          <w:color w:val="000000"/>
        </w:rPr>
        <w:t xml:space="preserve">* Government and Defence</w:t>
      </w:r>
    </w:p>
    <w:p>
      <w:pPr/>
      <w:r>
        <w:rPr>
          <w:rFonts w:ascii="Helvetica" w:hAnsi="Helvetica" w:cs="Helvetica"/>
          <w:sz w:val="24"/>
          <w:sz-cs w:val="24"/>
          <w:spacing w:val="0"/>
          <w:color w:val="000000"/>
        </w:rPr>
        <w:t xml:space="preserve">* Cloud Service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Processor Architecture* CPU</w:t>
      </w:r>
    </w:p>
    <w:p>
      <w:pPr/>
      <w:r>
        <w:rPr>
          <w:rFonts w:ascii="Helvetica" w:hAnsi="Helvetica" w:cs="Helvetica"/>
          <w:sz w:val="24"/>
          <w:sz-cs w:val="24"/>
          <w:spacing w:val="0"/>
          <w:color w:val="000000"/>
        </w:rPr>
        <w:t xml:space="preserve">* GPU</w:t>
      </w:r>
    </w:p>
    <w:p>
      <w:pPr/>
      <w:r>
        <w:rPr>
          <w:rFonts w:ascii="Helvetica" w:hAnsi="Helvetica" w:cs="Helvetica"/>
          <w:sz w:val="24"/>
          <w:sz-cs w:val="24"/>
          <w:spacing w:val="0"/>
          <w:color w:val="000000"/>
        </w:rPr>
        <w:t xml:space="preserve">* FPGA/ASIC (TPU, Inferentia, Gaudi, Cerebras)</w:t>
      </w:r>
    </w:p>
    <w:p>
      <w:pPr/>
      <w:r>
        <w:rPr>
          <w:rFonts w:ascii="Helvetica" w:hAnsi="Helvetica" w:cs="Helvetica"/>
          <w:sz w:val="24"/>
          <w:sz-cs w:val="24"/>
          <w:spacing w:val="0"/>
          <w:color w:val="000000"/>
        </w:rPr>
        <w:t xml:space="preserve">* Other Processor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factual base for the model and to keep the scope consistent across regions and buying channels. We relied on public sources such as the US Census Bureau and US International Trade Commission trade data, Bureau of Economic Analysis ICT investment series, OECD digital economy indicators, and International Telecommunication Union connectivity and data traffic statistics.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assumptions grounded, we also reviewed company filings and investor presentations, standards and technical notes from bodies such as IEEE and NIST, and open academic literature on AI training compute trends and data center efficiency. In several steps, we also used paid subscriptions focused on company financials and intelligence, patents, and shipment-level import and export records to flag capacity signals and validate supplier and buyer coverage. The sources listed here are illustrative, and additional public references were also used during data collection, clarification, and cross-checking.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structured surveys were used to pressure-test the demand pool and to confirm what buyers count as AI infrastructure in real budgets, including cloud, on-premises, and hybrid deployments. We spoke with infrastructure suppliers, cloud and colocation stakeholders, and enterprise and public-sector buyers across Americas, EMEA, and APAC so that regional deployment patterns and pricing shifts could be reflected in the final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14% | APAC: 47% | </w:t>
      </w:r>
    </w:p>
    <w:p>
      <w:pPr/>
      <w:r>
        <w:rPr>
          <w:rFonts w:ascii="Helvetica" w:hAnsi="Helvetica" w:cs="Helvetica"/>
          <w:sz w:val="24"/>
          <w:sz-cs w:val="24"/>
          <w:spacing w:val="0"/>
          <w:color w:val="000000"/>
        </w:rPr>
        <w:t xml:space="preserve">Mid tier: 53% | Functional/Unit leaders: 41% | EMEA: 30% | </w:t>
      </w:r>
    </w:p>
    <w:p>
      <w:pPr/>
      <w:r>
        <w:rPr>
          <w:rFonts w:ascii="Helvetica" w:hAnsi="Helvetica" w:cs="Helvetica"/>
          <w:sz w:val="24"/>
          <w:sz-cs w:val="24"/>
          <w:spacing w:val="0"/>
          <w:color w:val="000000"/>
        </w:rPr>
        <w:t xml:space="preserve">Smaller Players: 14% | Managers: 45%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core sizing starts from a top-down build where public cloud and data-center investment signals are translated into an AI-ready infrastructure demand pool, then filtered by AI workload intensity and typical hardware and software attach rates. After that shape is built, we corroborate the totals with selective bottom-up approximations, such as sampled ASP times unit volumes for accelerator-rich servers and related system software, plus channel checks on deployment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treated as sizing fingerprints included accelerator server adoption rates, GPU and AI accelerator availability cycles, high-bandwidth memory penetration, data-center buildouts, and power and cooling constraints, along with cloud versus on-premises workload placement. When the bottom-up checks exposed gaps, the model used conservative proxy logic, for example by applying regional deployment shares from interviews and then using a consistent price progression for comparable configurations.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so the outlook could handle uncertainties such as supply lead times, export controls, and faster changes in model training intensity. Scenario weights were adjusted using expert input on expected capacity additions, typical procurement timing, and how quickly software layers standardize across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CycleEach step is reviewed through triangulation checks where the sized totals are compared with independent signals, including data-center capex trends, accelerator shipment momentum, and cloud infrastructure spending direction. Outliers are investigated through variance checks by region and deployment type, and then reviewed again in an internal analyst pass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Reports are refreshed annually, with interim updates triggered when material events change pricing, supply, or deployment patterns, for example major capacity expansions or policy shifts that affect availability. Before delivery, a final review is performed so the outputs reflect the most recent information and the assumptions remain traceable to the model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AI Infrastructure Market Size Compared Against Other Published EstimatesPublished market size numbers for AI infrastructure do not always match because the boundaries can shift, especially around what gets counted as infrastructure versus adjacent software and services. Differences also come from the starting year, the treatment of cloud spend versus on-premises purchases, and how pricing is updated during fast product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Data-center capex direction, accelerator-rich server adoption signals, and cloud infrastructure spending checks are used to keep Mordor Intelligence's 2026 total focused on AI training and inference infrastructure only, rather than broader AI platform spend. Some publishers also mix spending measures with revenue measures, apply aggressive price escalation, or include a wider stack that counts managed services, which can push the total beyond what most buyers consider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101.17 B (2026) | | </w:t>
      </w:r>
    </w:p>
    <w:p>
      <w:pPr/>
      <w:r>
        <w:rPr>
          <w:rFonts w:ascii="Helvetica" w:hAnsi="Helvetica" w:cs="Helvetica"/>
          <w:sz w:val="24"/>
          <w:sz-cs w:val="24"/>
          <w:spacing w:val="0"/>
          <w:color w:val="000000"/>
        </w:rPr>
        <w:t xml:space="preserve">Global Consultancy A | USD 487.00 B (2026) | Uses a spending tracker scope that concentrates on worldwide server and storage outlays and can capture hyperscaler capex surges, which is not the same as a revenue-defined infrastructure market and may include broader procurement buckets. | </w:t>
      </w:r>
    </w:p>
    <w:p>
      <w:pPr/>
      <w:r>
        <w:rPr>
          <w:rFonts w:ascii="Helvetica" w:hAnsi="Helvetica" w:cs="Helvetica"/>
          <w:sz w:val="24"/>
          <w:sz-cs w:val="24"/>
          <w:spacing w:val="0"/>
          <w:color w:val="000000"/>
        </w:rPr>
        <w:t xml:space="preserve">Industry Research Group B | USD 135.81 B (2024) | Starts from a 2024 base year and includes a wider offering mix and deployment definitions, which can shift totals when price progression and attach assumptions are applied during a rapid accelerator cycle. | </w:t>
      </w:r>
    </w:p>
    <w:p>
      <w:pPr/>
      <w:r>
        <w:rPr>
          <w:rFonts w:ascii="Helvetica" w:hAnsi="Helvetica" w:cs="Helvetica"/>
          <w:sz w:val="24"/>
          <w:sz-cs w:val="24"/>
          <w:spacing w:val="0"/>
          <w:color w:val="000000"/>
        </w:rPr>
        <w:t xml:space="preserve">The table shows that the spread is mainly explained by scope and measurement choices, not just growth expectations. When the market is kept aligned to training and inference infrastructure, and the cross-checks are anchored in observable buildout and adoption signals, the resulting value stays easier to reconcile and repeat across updates.</w:t>
      </w:r>
    </w:p>
    <w:p>
      <w:pPr/>
      <w:r>
        <w:rPr>
          <w:rFonts w:ascii="Helvetica" w:hAnsi="Helvetica" w:cs="Helvetica"/>
          <w:sz w:val="24"/>
          <w:sz-cs w:val="24"/>
          <w:spacing w:val="0"/>
          <w:color w:val="000000"/>
        </w:rPr>
        <w:t xml:space="preserve">Key Questions Answered in the ReportWhat is the projected value of the AI infrastructure market in 2031? The market is forecast to reach USD 202.48 billion by 2031, expanding at a 14.89% CAGR over the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grow the fastest in AI infrastructure spending? Asia Pacific is expected to post a 16.44% CAGR through 2031, spurred by large semiconductor funds in China and hyperscaler expansions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dominant are GPUs in current AI accelerator revenue? GPUs held 88.82% of processor architecture revenue in 2025, although ASIC and FPGA devices are now growing faster for inference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liquid-cooled data centers gaining momentum? Rising rack densities above 100 kilowatts and stricter carbon pricing make liquid cooling essential, reducing facility energy use by up to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export controls influence AI infrastructure strategy? U.S. restrictions on high-end GPU shipments to China drive parallel investment in domestic chips, leading to divergent technology stacks and higher compliance costs for multinational deployments.</w:t>
      </w:r>
    </w:p>
    <w:p>
      <w:pPr/>
      <w:r>
        <w:rPr>
          <w:rFonts w:ascii="Helvetica" w:hAnsi="Helvetica" w:cs="Helvetica"/>
          <w:sz w:val="24"/>
          <w:sz-cs w:val="24"/>
          <w:spacing w:val="0"/>
          <w:color w:val="000000"/>
        </w:rPr>
        <w:t xml:space="preserve">Related Reports Explore More ReportsIndustry Trends in Agentic AIAI In IoT Market SizeAnalysis of AI Software Market In Legal IndustryCloud AI IndustryEnterprise AI Market ReportMarket Data for Explainable AIArtificial Intelligence Market ForecastsIndustrial AI Software MarketIntelligent Virtual Assistant (IVA) IndustryEdge AI Accelerators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