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Air-to-Surface Missiles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[https://www.mordorintelligence.com/industry-reports/air-to-surface-missiles-market](https://www.mordorintelligence.com/industry-reports/air-to-surface-missiles-market)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5.98 billion |</w:t>
      </w:r>
    </w:p>
    <w:p>
      <w:pPr/>
      <w:r>
        <w:rPr>
          <w:rFonts w:ascii="Helvetica Light" w:hAnsi="Helvetica Light" w:cs="Helvetica Light"/>
          <w:sz w:val="24"/>
          <w:sz-cs w:val="24"/>
        </w:rPr>
        <w:t xml:space="preserve">| **Projected Forecast (2031)** | USD 5.98 billion |</w:t>
      </w:r>
    </w:p>
    <w:p>
      <w:pPr/>
      <w:r>
        <w:rPr>
          <w:rFonts w:ascii="Helvetica Light" w:hAnsi="Helvetica Light" w:cs="Helvetica Light"/>
          <w:sz w:val="24"/>
          <w:sz-cs w:val="24"/>
        </w:rPr>
        <w:t xml:space="preserve">| **Growth Rate (CAGR)** | 8.54 %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Air-to-Surface Missiles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![Air-to-Surface Missiles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![Air-to-Surface Missiles Market Share by Launch Platform,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![Air-to-Surface Missiles Market Share by Guidance,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![Air-to-Surface Missiles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![Air-to-Surface Missiles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5.98 Billion | </w:t>
      </w:r>
    </w:p>
    <w:p>
      <w:pPr/>
      <w:r>
        <w:rPr>
          <w:rFonts w:ascii="Helvetica Light" w:hAnsi="Helvetica Light" w:cs="Helvetica Light"/>
          <w:sz w:val="24"/>
          <w:sz-cs w:val="24"/>
        </w:rPr>
        <w:t xml:space="preserve">Market Size (2030) | USD 9.01 Billion | </w:t>
      </w:r>
    </w:p>
    <w:p>
      <w:pPr/>
      <w:r>
        <w:rPr>
          <w:rFonts w:ascii="Helvetica Light" w:hAnsi="Helvetica Light" w:cs="Helvetica Light"/>
          <w:sz w:val="24"/>
          <w:sz-cs w:val="24"/>
        </w:rPr>
        <w:t xml:space="preserve">Growth Rate (2025 - 2030) | 8.54 %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Air-to-Surface Missiles Market Analysis by Mordor IntelligenceThe air-to-surface missiles market size is valued at USD 5.98 billion in 2025 and is forecasted to reach USD 9.01 billion by 2030, expanding at an 8.54% CAGR. Rapid modernization programs, rising regional tensions, and a clear preference for standoff precision strike weapons underpin this expansion, pushing governments to place multi-year orders that de-risk industrial capacity investments. The Pentagon’s USD 29.8 billion munitions request for FY2025, its largest on record, illustrates how buyers front-load demand signals to replenish stockpiles and fund next-generation systems. Hypersonic propulsion breakthroughs, such as Northrop Grumman’s scramjet exceeding Mach 5, compress decision cycles and spur platform upgrades that can carry heavier, faster weapons. At the same time, AI-enabled multi-mode seekers improve survivability against electronic warfare, encouraging adoption across fighter, bomber, and UAV fleets. Finally, production-rate increases—MBDA alone plans to double output by 2025—signal that prime contractors are scaling to meet a higher-volume, longer-duration demand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launch platform, combat aircraft led with 47.56% of the air-to-surface missiles market share in 2024; UAVs are projected to advance at an 11.25% CAGR through 2030.</w:t>
      </w:r>
    </w:p>
    <w:p>
      <w:pPr/>
      <w:r>
        <w:rPr>
          <w:rFonts w:ascii="Helvetica Light" w:hAnsi="Helvetica Light" w:cs="Helvetica Light"/>
          <w:sz w:val="24"/>
          <w:sz-cs w:val="24"/>
        </w:rPr>
        <w:t xml:space="preserve">* By range, medium-range missiles commanded a 49.21% share of the air-to-surface missiles market in 2024, while long-range variants are expanding at a 10.42% CAGR to 2030.</w:t>
      </w:r>
    </w:p>
    <w:p>
      <w:pPr/>
      <w:r>
        <w:rPr>
          <w:rFonts w:ascii="Helvetica Light" w:hAnsi="Helvetica Light" w:cs="Helvetica Light"/>
          <w:sz w:val="24"/>
          <w:sz-cs w:val="24"/>
        </w:rPr>
        <w:t xml:space="preserve">* By propulsion, solid rocket accounted for 34.75% of the air-to-surface missile market in 2024; ramjet and scramjet solutions are rising at a 9.55% CAGR through 2030.</w:t>
      </w:r>
    </w:p>
    <w:p>
      <w:pPr/>
      <w:r>
        <w:rPr>
          <w:rFonts w:ascii="Helvetica Light" w:hAnsi="Helvetica Light" w:cs="Helvetica Light"/>
          <w:sz w:val="24"/>
          <w:sz-cs w:val="24"/>
        </w:rPr>
        <w:t xml:space="preserve">* By guidance, inertial and GPS combinations held 36.89% of the air-to-surface missiles market share in 2024; multi-mode seekers are growing at a 9.91% CAGR over the same period.</w:t>
      </w:r>
    </w:p>
    <w:p>
      <w:pPr/>
      <w:r>
        <w:rPr>
          <w:rFonts w:ascii="Helvetica Light" w:hAnsi="Helvetica Light" w:cs="Helvetica Light"/>
          <w:sz w:val="24"/>
          <w:sz-cs w:val="24"/>
        </w:rPr>
        <w:t xml:space="preserve">* By speed class, subsonic designs retained 58.34% share of the air-to-surface missiles market size in 2024, whereas hypersonic weapons are set to grow at an 11.80% CAGR to 2030.</w:t>
      </w:r>
    </w:p>
    <w:p>
      <w:pPr/>
      <w:r>
        <w:rPr>
          <w:rFonts w:ascii="Helvetica Light" w:hAnsi="Helvetica Light" w:cs="Helvetica Light"/>
          <w:sz w:val="24"/>
          <w:sz-cs w:val="24"/>
        </w:rPr>
        <w:t xml:space="preserve">* By geography, North America held 36.18% revenue share in 2024, while Asia-Pacific is set to deliver the highest 10.75% CAGR over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Air-to-Surface Missiles Market*Driver | ( ~ ) % Impact on CAGR Forecast | Geographic Relevance | Impact Timeline | </w:t>
      </w:r>
    </w:p>
    <w:p>
      <w:pPr/>
      <w:r>
        <w:rPr>
          <w:rFonts w:ascii="Helvetica Light" w:hAnsi="Helvetica Light" w:cs="Helvetica Light"/>
          <w:sz w:val="24"/>
          <w:sz-cs w:val="24"/>
        </w:rPr>
        <w:t xml:space="preserve">Increasing defense spending allocated to precision-guided strike capabilities | +1.5% | Global | Medium term (2-4 years) | </w:t>
      </w:r>
    </w:p>
    <w:p>
      <w:pPr/>
      <w:r>
        <w:rPr>
          <w:rFonts w:ascii="Helvetica Light" w:hAnsi="Helvetica Light" w:cs="Helvetica Light"/>
          <w:sz w:val="24"/>
          <w:sz-cs w:val="24"/>
        </w:rPr>
        <w:t xml:space="preserve">Ongoing aircraft modernization programs integrating advanced standoff munitions | +1.8% | North America, Europe, Asia-Pacific | Long term (≥ 4 years) | </w:t>
      </w:r>
    </w:p>
    <w:p>
      <w:pPr/>
      <w:r>
        <w:rPr>
          <w:rFonts w:ascii="Helvetica Light" w:hAnsi="Helvetica Light" w:cs="Helvetica Light"/>
          <w:sz w:val="24"/>
          <w:sz-cs w:val="24"/>
        </w:rPr>
        <w:t xml:space="preserve">Rising demand for low-collateral-damage munitions in counter-insurgency operations | +1.2% | Middle East, Africa | Short term (≤ 2 years) | </w:t>
      </w:r>
    </w:p>
    <w:p>
      <w:pPr/>
      <w:r>
        <w:rPr>
          <w:rFonts w:ascii="Helvetica Light" w:hAnsi="Helvetica Light" w:cs="Helvetica Light"/>
          <w:sz w:val="24"/>
          <w:sz-cs w:val="24"/>
        </w:rPr>
        <w:t xml:space="preserve">Emergence of advanced air defense systems driving need for longer-range, high-speed ASMs | +1.4% | Asia-Pacific, Europe, Middle East | Medium term (2-4 years) | </w:t>
      </w:r>
    </w:p>
    <w:p>
      <w:pPr/>
      <w:r>
        <w:rPr>
          <w:rFonts w:ascii="Helvetica Light" w:hAnsi="Helvetica Light" w:cs="Helvetica Light"/>
          <w:sz w:val="24"/>
          <w:sz-cs w:val="24"/>
        </w:rPr>
        <w:t xml:space="preserve">Adoption of AI-enabled multi-mode seekers improving target accuracy in contested environments | +0.9% | North America, Europe | Long term (≥ 4 years) | </w:t>
      </w:r>
    </w:p>
    <w:p>
      <w:pPr/>
      <w:r>
        <w:rPr>
          <w:rFonts w:ascii="Helvetica Light" w:hAnsi="Helvetica Light" w:cs="Helvetica Light"/>
          <w:sz w:val="24"/>
          <w:sz-cs w:val="24"/>
        </w:rPr>
        <w:t xml:space="preserve">Development of modular, aircraft-agnostic pylons enabling rapid ASM integration across platforms | +0.6% | North America,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Industry concentration remains high as the prime contractors dominate end-to-end missile design, propulsion, guidance, and integration. Vertical integration allows them to safeguard intellectual property and mitigate supplier disruptions, yet it raises entry barriers for innovative startups. Regulatory bodies are increasingly alert to consolidation risks; the FTC’s intervention against Lockheed Martin’s attempted Aerojet Rocketdyne purchase preserved propulsion competition and signaled stricter scrutiny for future deals.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leadership has become the chief differentiator. MBDA’s Orchestrike AI for SPEAR cruise missiles exemplifies how embedded autonomy can extend weapon lethality without compromising human agency. Northrop Grumman and GE Aerospace focus on dual-mode ramjets to unlock mass-producible hypersonic missiles, while Lockheed Martin leverages model-based engineering to halve integration timelines across multiple airframes.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Cost-effective precision has emerged as an exploitable white space: firms such as L3Harris and Mach Industries market modular mini-cruise missiles priced below USD 0.3 million, targeting customers who cannot afford high-end hypersonic rounds. At the same time, additive-manufacturing pioneers are courting primes with rapid prototyping capabilities that compress design-to-flight schedules. These trends ensure that, despite oligopolistic structures, innovation cycles within the air-to-surface missiles market remain vigorous.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Air-to-Surface Missiles Industry Leaders*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MBDA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Rafael Advanced Defense Systems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Air-to-Surface Missiles Market Report ScopeBy Launch PlatformCombat Aircraft | </w:t>
      </w:r>
    </w:p>
    <w:p>
      <w:pPr/>
      <w:r>
        <w:rPr>
          <w:rFonts w:ascii="Helvetica Light" w:hAnsi="Helvetica Light" w:cs="Helvetica Light"/>
          <w:sz w:val="24"/>
          <w:sz-cs w:val="24"/>
        </w:rPr>
        <w:t xml:space="preserve">Bomber Aircraft | </w:t>
      </w:r>
    </w:p>
    <w:p>
      <w:pPr/>
      <w:r>
        <w:rPr>
          <w:rFonts w:ascii="Helvetica Light" w:hAnsi="Helvetica Light" w:cs="Helvetica Light"/>
          <w:sz w:val="24"/>
          <w:sz-cs w:val="24"/>
        </w:rPr>
        <w:t xml:space="preserve">Rotary-Wing Aircraft | </w:t>
      </w:r>
    </w:p>
    <w:p>
      <w:pPr/>
      <w:r>
        <w:rPr>
          <w:rFonts w:ascii="Helvetica Light" w:hAnsi="Helvetica Light" w:cs="Helvetica Light"/>
          <w:sz w:val="24"/>
          <w:sz-cs w:val="24"/>
        </w:rPr>
        <w:t xml:space="preserve">Unmanned Aerial Vehicles (UAVs)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Israel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value of the air-to-surface missiles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air-to-air missiles market stands at USD 5.98 billion in 2025 and is projected to hit USD 9.01 billion by 2030 at an 8.54%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launch platform segment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Missiles launched from UAVs are forecasted to grow at an 11.25%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long-range missiles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Advanced air defenses are pushing strike requirements beyond 400 km, driving a 10.42% CAGR in the long-range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propulsion technology underpins hypersonic weapons?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Dual-mode ramjet and scramjet engines enable sustained flight above Mach 5 while remaining producible at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guidance technologies best resist electronic-warfare jamming?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Multi-mode seekers that fuse radar, imaging infrared, and laser inputs maintain accuracy even when GPS or datalinks are disrupted.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lead with a 10.75% CAGR as regional defense budgets prioritize indigenous long-range strike capabilities.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