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Aircraft Electrical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[https://www.mordorintelligence.com/industry-reports/aircraft-electrical-systems-market](https://www.mordorintelligence.com/industry-reports/aircraft-electrical-systems-market)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26.09 billion |</w:t>
      </w:r>
    </w:p>
    <w:p>
      <w:pPr/>
      <w:r>
        <w:rPr>
          <w:rFonts w:ascii="Helvetica Light" w:hAnsi="Helvetica Light" w:cs="Helvetica Light"/>
          <w:sz w:val="24"/>
          <w:sz-cs w:val="24"/>
        </w:rPr>
        <w:t xml:space="preserve">| **Projected Forecast (2031)** | USD 26.09 billion |</w:t>
      </w:r>
    </w:p>
    <w:p>
      <w:pPr/>
      <w:r>
        <w:rPr>
          <w:rFonts w:ascii="Helvetica Light" w:hAnsi="Helvetica Light" w:cs="Helvetica Light"/>
          <w:sz w:val="24"/>
          <w:sz-cs w:val="24"/>
        </w:rPr>
        <w:t xml:space="preserve">| **Growth Rate (CAGR)** | 7.28 %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Aircraft Electrical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Share by System,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Share by Platform,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26.09 Billion | </w:t>
      </w:r>
    </w:p>
    <w:p>
      <w:pPr/>
      <w:r>
        <w:rPr>
          <w:rFonts w:ascii="Helvetica Light" w:hAnsi="Helvetica Light" w:cs="Helvetica Light"/>
          <w:sz w:val="24"/>
          <w:sz-cs w:val="24"/>
        </w:rPr>
        <w:t xml:space="preserve">Market Size (2031) | USD 37.07 Billion | </w:t>
      </w:r>
    </w:p>
    <w:p>
      <w:pPr/>
      <w:r>
        <w:rPr>
          <w:rFonts w:ascii="Helvetica Light" w:hAnsi="Helvetica Light" w:cs="Helvetica Light"/>
          <w:sz w:val="24"/>
          <w:sz-cs w:val="24"/>
        </w:rPr>
        <w:t xml:space="preserve">Growth Rate (2026 - 2031) | 7.28 %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Market Analysis by Mordor IntelligenceThe aircraft electrical systems market size is expected to grow from USD 23.13 billion in 2025 to USD 26.09 billion in 2026 and is forecasted to reach USD 37.07 billion by 2031 at a 7.28% CAGR over 2026-2031. This growth stems from airline and OEM preferences for More-Electric Aircraft (MEA) designs, which replace pneumatic and hydraulic subsystems with electrically powered equivalents, thereby lowering fuel burn and maintenance demands. Robust commercial backlogs at Airbus SE, The Boeing Company, and COMAC, accompanied by rising widebody retrofits for higher cabin power budgets, secure steady demand across power-generation, distribution, conversion, and energy storage hardware. The continued adoption of 270-volt-plus direct current distribution reduces copper weight by up to 40% while encouraging suppliers to shift toward silicon-carbide (SiC) semiconductors, which are rated for junction temperatures exceeding 200 °C. Hybrid-electric propulsion demonstrators validate high-power starter-generators, and rapid eVTOL prototyping accelerates certification activity for next-generation batteries, converters, and power-distribution software. Collectively, these trends ensure that the aircraft electrical systems market maintains a balanced mix of OEM linefit and aftermarket retrofit opportunities through the early 2030s.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power distribution led with a 34.41% revenue share in 2025, while energy storage is forecasted to post a 9.44% CAGR through 2031.</w:t>
      </w:r>
    </w:p>
    <w:p>
      <w:pPr/>
      <w:r>
        <w:rPr>
          <w:rFonts w:ascii="Helvetica Light" w:hAnsi="Helvetica Light" w:cs="Helvetica Light"/>
          <w:sz w:val="24"/>
          <w:sz-cs w:val="24"/>
        </w:rPr>
        <w:t xml:space="preserve">* By component, generators and starter-generators held a 23.22% share in 2025, whereas battery packs and battery management systems are projected to expand at an 8.24% CAGR through 2031.</w:t>
      </w:r>
    </w:p>
    <w:p>
      <w:pPr/>
      <w:r>
        <w:rPr>
          <w:rFonts w:ascii="Helvetica Light" w:hAnsi="Helvetica Light" w:cs="Helvetica Light"/>
          <w:sz w:val="24"/>
          <w:sz-cs w:val="24"/>
        </w:rPr>
        <w:t xml:space="preserve">* By platform, commercial aviation accounted for a 63.87% share in 2025, and general aviation is expected to grow at a 9.12% CAGR through 2031.</w:t>
      </w:r>
    </w:p>
    <w:p>
      <w:pPr/>
      <w:r>
        <w:rPr>
          <w:rFonts w:ascii="Helvetica Light" w:hAnsi="Helvetica Light" w:cs="Helvetica Light"/>
          <w:sz w:val="24"/>
          <w:sz-cs w:val="24"/>
        </w:rPr>
        <w:t xml:space="preserve">* By application, power generation management captured a 29.12% share in 2025, while cabin system electrification is expected to increase at an 8.56% CAGR through 2031.</w:t>
      </w:r>
    </w:p>
    <w:p>
      <w:pPr/>
      <w:r>
        <w:rPr>
          <w:rFonts w:ascii="Helvetica Light" w:hAnsi="Helvetica Light" w:cs="Helvetica Light"/>
          <w:sz w:val="24"/>
          <w:sz-cs w:val="24"/>
        </w:rPr>
        <w:t xml:space="preserve">* By geography, North America commanded a 42.22% share in 2025, and the Asia-Pacific region is projected to register the fastest CAGR of 8.01%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Aircraft Electrical Systems Market*Driver | (~) % Impact on CAGR Forecast | Geographic Relevance | Impact Timeline | </w:t>
      </w:r>
    </w:p>
    <w:p>
      <w:pPr/>
      <w:r>
        <w:rPr>
          <w:rFonts w:ascii="Helvetica Light" w:hAnsi="Helvetica Light" w:cs="Helvetica Light"/>
          <w:sz w:val="24"/>
          <w:sz-cs w:val="24"/>
        </w:rPr>
        <w:t xml:space="preserve">Increasing adoption of More-Electric Aircraft (MEA) architectures to reduce mechanical complexity and improve efficiency | +2.1% | Global, concentrated in North America and Europe | Medium term (2–4 years) | </w:t>
      </w:r>
    </w:p>
    <w:p>
      <w:pPr/>
      <w:r>
        <w:rPr>
          <w:rFonts w:ascii="Helvetica Light" w:hAnsi="Helvetica Light" w:cs="Helvetica Light"/>
          <w:sz w:val="24"/>
          <w:sz-cs w:val="24"/>
        </w:rPr>
        <w:t xml:space="preserve">Rising aircraft production volumes and sustained order backlogs driving demand for advanced electrical systems | +1.8% | Global, led by Asia-Pacific and North America | Short term (≤ 2 years) | </w:t>
      </w:r>
    </w:p>
    <w:p>
      <w:pPr/>
      <w:r>
        <w:rPr>
          <w:rFonts w:ascii="Helvetica Light" w:hAnsi="Helvetica Light" w:cs="Helvetica Light"/>
          <w:sz w:val="24"/>
          <w:sz-cs w:val="24"/>
        </w:rPr>
        <w:t xml:space="preserve">Implementation of high-voltage direct current (HVDC) distribution systems to support next-generation power architectures | +1.5% | North America and Europe, early adoption in Asia-Pacific | Long term (≥ 4 years) | </w:t>
      </w:r>
    </w:p>
    <w:p>
      <w:pPr/>
      <w:r>
        <w:rPr>
          <w:rFonts w:ascii="Helvetica Light" w:hAnsi="Helvetica Light" w:cs="Helvetica Light"/>
          <w:sz w:val="24"/>
          <w:sz-cs w:val="24"/>
        </w:rPr>
        <w:t xml:space="preserve">Growing need for lightweight and compact electrical systems tailored to unmanned aerial platforms | +0.9% | North America and Middle East, expanding to Asia-Pacific | Medium term (2–4 years) | </w:t>
      </w:r>
    </w:p>
    <w:p>
      <w:pPr/>
      <w:r>
        <w:rPr>
          <w:rFonts w:ascii="Helvetica Light" w:hAnsi="Helvetica Light" w:cs="Helvetica Light"/>
          <w:sz w:val="24"/>
          <w:sz-cs w:val="24"/>
        </w:rPr>
        <w:t xml:space="preserve">Silicon-carbide (SiC) power electronics enable higher temperature limits | +0.7% | Global, led by North America and Europe | Long term (≥ 4 years) | </w:t>
      </w:r>
    </w:p>
    <w:p>
      <w:pPr/>
      <w:r>
        <w:rPr>
          <w:rFonts w:ascii="Helvetica Light" w:hAnsi="Helvetica Light" w:cs="Helvetica Light"/>
          <w:sz w:val="24"/>
          <w:sz-cs w:val="24"/>
        </w:rPr>
        <w:t xml:space="preserve">Retrofit-driven upgrades focused on cabin electrification, including in-seat power and galley modernization | +0.6% | Global, concentrated in mature aviation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electrical systems market exhibits moderate consolidation, with the top five suppliers accounting for over 50% of the global revenue. Honeywell International Inc., RTX Corporation, Safran SA, General Electric Company, and Thales Group actively engage in mergers and acquisitions (M&amp;A) to address capability gaps. Honeywell’s CAES takeover extends its RF-shielding and electromagnetic compatibility expertise, while Thales Group absorbs Cobham Aerospace Communications to expand its cockpit connectivity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differentiation orbits around power density, HVDC integration, and cyber-resilience. Major players channel R&amp;D dollars into silicon-carbide devices that sustain 200 °C junctions, thus reducing cooling mass. Smaller firms position themselves in niche eVTOL subsystems, often partnering with incumbents to navigate the complexity of certification. The regulatory environment reinforces incumbency, as extensive compliance track records are prerequisites for type certificate amendments.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centers on silicon-carbide power electronics, where Wolfspeed and Infineon supply MOSFETs that raise operating temperature limits and cut heat-sink mass 30%. Patent filings for solid-state circuit breakers and bidirectional converters increased by 35% between 2023 and 2025, indicating supplier confidence in HVDC adoption for the next commercial single-aisle. Consolidation continues, as illustrated by Parker-Hannifin’s 2022 acquisition of Meggitt, which merges hydraulic and electrical actuation. Meanwhile, Tier-2 suppliers in the Asia-Pacific region are expanding their wiring-harness capacities, although AS9100 audits are extending qualification cycles, thereby maintaining their incumbent advantage within the aircraft electrical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Electrical Systems Industry Leaders*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onboard electrical systems used on aircraft to generate, distribute, convert, protect, and store electrical power so that flight, cabin, and utility loads can operate reliably across different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standalone avionics boxes, in-flight entertainment boxes, and ground power units to reduce double counting with adjacent avionics and ground support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Power Generation</w:t>
      </w:r>
    </w:p>
    <w:p>
      <w:pPr/>
      <w:r>
        <w:rPr>
          <w:rFonts w:ascii="Helvetica Light" w:hAnsi="Helvetica Light" w:cs="Helvetica Light"/>
          <w:sz w:val="24"/>
          <w:sz-cs w:val="24"/>
        </w:rPr>
        <w:t xml:space="preserve">* Power Distribution</w:t>
      </w:r>
    </w:p>
    <w:p>
      <w:pPr/>
      <w:r>
        <w:rPr>
          <w:rFonts w:ascii="Helvetica Light" w:hAnsi="Helvetica Light" w:cs="Helvetica Light"/>
          <w:sz w:val="24"/>
          <w:sz-cs w:val="24"/>
        </w:rPr>
        <w:t xml:space="preserve">* Power Conversion</w:t>
      </w:r>
    </w:p>
    <w:p>
      <w:pPr/>
      <w:r>
        <w:rPr>
          <w:rFonts w:ascii="Helvetica Light" w:hAnsi="Helvetica Light" w:cs="Helvetica Light"/>
          <w:sz w:val="24"/>
          <w:sz-cs w:val="24"/>
        </w:rPr>
        <w:t xml:space="preserve">* Energy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Generators and Starter-Generators</w:t>
      </w:r>
    </w:p>
    <w:p>
      <w:pPr/>
      <w:r>
        <w:rPr>
          <w:rFonts w:ascii="Helvetica Light" w:hAnsi="Helvetica Light" w:cs="Helvetica Light"/>
          <w:sz w:val="24"/>
          <w:sz-cs w:val="24"/>
        </w:rPr>
        <w:t xml:space="preserve">* Power Distribution Units</w:t>
      </w:r>
    </w:p>
    <w:p>
      <w:pPr/>
      <w:r>
        <w:rPr>
          <w:rFonts w:ascii="Helvetica Light" w:hAnsi="Helvetica Light" w:cs="Helvetica Light"/>
          <w:sz w:val="24"/>
          <w:sz-cs w:val="24"/>
        </w:rPr>
        <w:t xml:space="preserve">* Converters</w:t>
      </w:r>
    </w:p>
    <w:p>
      <w:pPr/>
      <w:r>
        <w:rPr>
          <w:rFonts w:ascii="Helvetica Light" w:hAnsi="Helvetica Light" w:cs="Helvetica Light"/>
          <w:sz w:val="24"/>
          <w:sz-cs w:val="24"/>
        </w:rPr>
        <w:t xml:space="preserve">* Battery Packs and Battery Management System (BMS)</w:t>
      </w:r>
    </w:p>
    <w:p>
      <w:pPr/>
      <w:r>
        <w:rPr>
          <w:rFonts w:ascii="Helvetica Light" w:hAnsi="Helvetica Light" w:cs="Helvetica Light"/>
          <w:sz w:val="24"/>
          <w:sz-cs w:val="24"/>
        </w:rPr>
        <w:t xml:space="preserve">* Wiring and Cables</w:t>
      </w:r>
    </w:p>
    <w:p>
      <w:pPr/>
      <w:r>
        <w:rPr>
          <w:rFonts w:ascii="Helvetica Light" w:hAnsi="Helvetica Light" w:cs="Helvetica Light"/>
          <w:sz w:val="24"/>
          <w:sz-cs w:val="24"/>
        </w:rPr>
        <w:t xml:space="preserve">* Connectors and Contactors</w:t>
      </w:r>
    </w:p>
    <w:p>
      <w:pPr/>
      <w:r>
        <w:rPr>
          <w:rFonts w:ascii="Helvetica Light" w:hAnsi="Helvetica Light" w:cs="Helvetica Light"/>
          <w:sz w:val="24"/>
          <w:sz-cs w:val="24"/>
        </w:rPr>
        <w:t xml:space="preserve">* Power-distribution Software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Commercial Aviation* Narrowbody</w:t>
      </w:r>
    </w:p>
    <w:p>
      <w:pPr/>
      <w:r>
        <w:rPr>
          <w:rFonts w:ascii="Helvetica Light" w:hAnsi="Helvetica Light" w:cs="Helvetica Light"/>
          <w:sz w:val="24"/>
          <w:sz-cs w:val="24"/>
        </w:rPr>
        <w:t xml:space="preserve">* Widebody</w:t>
      </w:r>
    </w:p>
    <w:p>
      <w:pPr/>
      <w:r>
        <w:rPr>
          <w:rFonts w:ascii="Helvetica Light" w:hAnsi="Helvetica Light" w:cs="Helvetica Light"/>
          <w:sz w:val="24"/>
          <w:sz-cs w:val="24"/>
        </w:rPr>
        <w:t xml:space="preserve">* Regional Jets</w:t>
      </w:r>
    </w:p>
    <w:p>
      <w:pPr/>
      <w:r>
        <w:rPr>
          <w:rFonts w:ascii="Helvetica Light" w:hAnsi="Helvetica Light" w:cs="Helvetica Light"/>
          <w:sz w:val="24"/>
          <w:sz-cs w:val="24"/>
        </w:rPr>
        <w:t xml:space="preserve">* Freighters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Military Aviation* Combat Aircraft</w:t>
      </w:r>
    </w:p>
    <w:p>
      <w:pPr/>
      <w:r>
        <w:rPr>
          <w:rFonts w:ascii="Helvetica Light" w:hAnsi="Helvetica Light" w:cs="Helvetica Light"/>
          <w:sz w:val="24"/>
          <w:sz-cs w:val="24"/>
        </w:rPr>
        <w:t xml:space="preserve">* Transport Aircraft</w:t>
      </w:r>
    </w:p>
    <w:p>
      <w:pPr/>
      <w:r>
        <w:rPr>
          <w:rFonts w:ascii="Helvetica Light" w:hAnsi="Helvetica Light" w:cs="Helvetica Light"/>
          <w:sz w:val="24"/>
          <w:sz-cs w:val="24"/>
        </w:rPr>
        <w:t xml:space="preserve">* Unmanned Aerial Vehicles (UAVs)</w:t>
      </w:r>
    </w:p>
    <w:p>
      <w:pPr/>
      <w:r>
        <w:rPr>
          <w:rFonts w:ascii="Helvetica Light" w:hAnsi="Helvetica Light" w:cs="Helvetica Light"/>
          <w:sz w:val="24"/>
          <w:sz-cs w:val="24"/>
        </w:rPr>
        <w:t xml:space="preserve">* Trainer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Aviation* Business Jets</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Electric Vertical Take-Off and Landing (eVTOL)/Advanced Air Mobility (AAM)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Power Generation Management</w:t>
      </w:r>
    </w:p>
    <w:p>
      <w:pPr/>
      <w:r>
        <w:rPr>
          <w:rFonts w:ascii="Helvetica Light" w:hAnsi="Helvetica Light" w:cs="Helvetica Light"/>
          <w:sz w:val="24"/>
          <w:sz-cs w:val="24"/>
        </w:rPr>
        <w:t xml:space="preserve">* Flight Control and Operation</w:t>
      </w:r>
    </w:p>
    <w:p>
      <w:pPr/>
      <w:r>
        <w:rPr>
          <w:rFonts w:ascii="Helvetica Light" w:hAnsi="Helvetica Light" w:cs="Helvetica Light"/>
          <w:sz w:val="24"/>
          <w:sz-cs w:val="24"/>
        </w:rPr>
        <w:t xml:space="preserve">* Cabin System</w:t>
      </w:r>
    </w:p>
    <w:p>
      <w:pPr/>
      <w:r>
        <w:rPr>
          <w:rFonts w:ascii="Helvetica Light" w:hAnsi="Helvetica Light" w:cs="Helvetica Light"/>
          <w:sz w:val="24"/>
          <w:sz-cs w:val="24"/>
        </w:rPr>
        <w:t xml:space="preserve">* Configuration Management</w:t>
      </w:r>
    </w:p>
    <w:p>
      <w:pPr/>
      <w:r>
        <w:rPr>
          <w:rFonts w:ascii="Helvetica Light" w:hAnsi="Helvetica Light" w:cs="Helvetica Light"/>
          <w:sz w:val="24"/>
          <w:sz-cs w:val="24"/>
        </w:rPr>
        <w:t xml:space="preserve">* Air Pressurization and Conditioning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aircraft electrical systems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electrical systems market is forecasted to reach USD 37.07 billion by 2031, growing at a 7.28%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geographic region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post an 8.01% CAGR, the highest among all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system segment shows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storage systems are expected to expand at a 9.44% CAGR as eVTOL and hybrid-electric programs mature.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are incumbents in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suppliers hold more than 50% share, reflecting moderate concentration but ongoing space for new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certification challenge most affects battery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with FAA AC 20-184 thermal-runaway containment tests adds USD 2-4 million per battery design and can delay programs 12-18 months.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area is projected to grow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Cabin system electrification leads with an 8.56% CAGR, driven by in-seat power, high-definition IFE, and induction-galley retrofits.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