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Aircraft Engines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Aviation &amp; Avionics (Aerospace &amp; Defense)  </w:t>
      </w:r>
    </w:p>
    <w:p>
      <w:pPr/>
      <w:r>
        <w:rPr>
          <w:rFonts w:ascii="Helvetica Light" w:hAnsi="Helvetica Light" w:cs="Helvetica Light"/>
          <w:sz w:val="24"/>
          <w:sz-cs w:val="24"/>
        </w:rPr>
        <w:t xml:space="preserve">&gt; **Source:** [https://www.mordorintelligence.com/industry-reports/aircraft-engines-market](https://www.mordorintelligence.com/industry-reports/aircraft-engines-market)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129.69 billion |</w:t>
      </w:r>
    </w:p>
    <w:p>
      <w:pPr/>
      <w:r>
        <w:rPr>
          <w:rFonts w:ascii="Helvetica Light" w:hAnsi="Helvetica Light" w:cs="Helvetica Light"/>
          <w:sz w:val="24"/>
          <w:sz-cs w:val="24"/>
        </w:rPr>
        <w:t xml:space="preserve">| **Projected Forecast (2031)** | USD 129.69 billion |</w:t>
      </w:r>
    </w:p>
    <w:p>
      <w:pPr/>
      <w:r>
        <w:rPr>
          <w:rFonts w:ascii="Helvetica Light" w:hAnsi="Helvetica Light" w:cs="Helvetica Light"/>
          <w:sz w:val="24"/>
          <w:sz-cs w:val="24"/>
        </w:rPr>
        <w:t xml:space="preserve">| **Growth Rate (CAGR)** | 3.46 %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Aircraft Engines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Engines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Engines Market Share by Engine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Engines Market Share by Component,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Engines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Engines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109.41 Billion | </w:t>
      </w:r>
    </w:p>
    <w:p>
      <w:pPr/>
      <w:r>
        <w:rPr>
          <w:rFonts w:ascii="Helvetica Light" w:hAnsi="Helvetica Light" w:cs="Helvetica Light"/>
          <w:sz w:val="24"/>
          <w:sz-cs w:val="24"/>
        </w:rPr>
        <w:t xml:space="preserve">Market Size (2031) | USD 129.69 Billion | </w:t>
      </w:r>
    </w:p>
    <w:p>
      <w:pPr/>
      <w:r>
        <w:rPr>
          <w:rFonts w:ascii="Helvetica Light" w:hAnsi="Helvetica Light" w:cs="Helvetica Light"/>
          <w:sz w:val="24"/>
          <w:sz-cs w:val="24"/>
        </w:rPr>
        <w:t xml:space="preserve">Growth Rate (2026 - 2031) | 3.46 % | </w:t>
      </w:r>
    </w:p>
    <w:p>
      <w:pPr/>
      <w:r>
        <w:rPr>
          <w:rFonts w:ascii="Helvetica Light" w:hAnsi="Helvetica Light" w:cs="Helvetica Light"/>
          <w:sz w:val="24"/>
          <w:sz-cs w:val="24"/>
        </w:rPr>
        <w:t xml:space="preserve">Fastest Growing Market | Middle East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Engines Market Analysis by Mordor IntelligenceThe aircraft engines market size is expected to increase from USD 106.17 billion in 2025 to USD 109.41 billion in 2026 and reach USD 129.69 billion by 2031, growing at a CAGR of 3.46% over 2026-2031. Demand is supported by the recovery of commercial aircraft production, a growing installed base of newer engines, and defense modernization programs. Engine deliveries remain linked to airframe production capacity, so supply constraints can defer original equipment revenue while increasing future maintenance activity. The aircraft engines market also benefits from long service lives because fleet growth creates recurring demand for repairs, overhauls, spare parts, and technical support. Manufacturers are expanding production and service capacity while protecting access to repair technology and long-term maintenance contracts. The aircraft engines market, therefore, combines a concentrated original equipment base with a broader maintenance opportunity that develops as recent engine deliveries mature.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engine type, turbofan engines held 64.78% of the aircraft engines market share in 2025, while hybrid-electric engines are projected to grow at a 6.51% CAGR through 2031.</w:t>
      </w:r>
    </w:p>
    <w:p>
      <w:pPr/>
      <w:r>
        <w:rPr>
          <w:rFonts w:ascii="Helvetica Light" w:hAnsi="Helvetica Light" w:cs="Helvetica Light"/>
          <w:sz w:val="24"/>
          <w:sz-cs w:val="24"/>
        </w:rPr>
        <w:t xml:space="preserve">* By aircraft type, narrowbody commercial aircraft accounted for 43.91% of the aircraft engines market share in 2025, while advanced air mobility is forecast to grow at a 7.12% CAGR through 2031.</w:t>
      </w:r>
    </w:p>
    <w:p>
      <w:pPr/>
      <w:r>
        <w:rPr>
          <w:rFonts w:ascii="Helvetica Light" w:hAnsi="Helvetica Light" w:cs="Helvetica Light"/>
          <w:sz w:val="24"/>
          <w:sz-cs w:val="24"/>
        </w:rPr>
        <w:t xml:space="preserve">* By technology, geared turbofan technology accounted for 36.38% of the aircraft engines market in 2025, while adaptive-cycle engines are projected to grow at a 7.52% CAGR through 2031.</w:t>
      </w:r>
    </w:p>
    <w:p>
      <w:pPr/>
      <w:r>
        <w:rPr>
          <w:rFonts w:ascii="Helvetica Light" w:hAnsi="Helvetica Light" w:cs="Helvetica Light"/>
          <w:sz w:val="24"/>
          <w:sz-cs w:val="24"/>
        </w:rPr>
        <w:t xml:space="preserve">* By thrust class, the 25,001-50,000 lbf class held 40.59% of the aircraft engines market share in 2025, while the more than 50,000 lbf class is forecast to grow at a 6.87% CAGR through 2031.</w:t>
      </w:r>
    </w:p>
    <w:p>
      <w:pPr/>
      <w:r>
        <w:rPr>
          <w:rFonts w:ascii="Helvetica Light" w:hAnsi="Helvetica Light" w:cs="Helvetica Light"/>
          <w:sz w:val="24"/>
          <w:sz-cs w:val="24"/>
        </w:rPr>
        <w:t xml:space="preserve">* By component, turbines accounted for 36.38% of the aircraft engines market size in 2025, while gearboxes are projected to expand at a 5.55% CAGR through 2031.</w:t>
      </w:r>
    </w:p>
    <w:p>
      <w:pPr/>
      <w:r>
        <w:rPr>
          <w:rFonts w:ascii="Helvetica Light" w:hAnsi="Helvetica Light" w:cs="Helvetica Light"/>
          <w:sz w:val="24"/>
          <w:sz-cs w:val="24"/>
        </w:rPr>
        <w:t xml:space="preserve">* By end user, OEM factory-fit installations accounted for 55.65% of the aircraft engines market share in 2025, while replacement and aftermarket services are forecast to grow at an 8.32% CAGR through 2031.</w:t>
      </w:r>
    </w:p>
    <w:p>
      <w:pPr/>
      <w:r>
        <w:rPr>
          <w:rFonts w:ascii="Helvetica Light" w:hAnsi="Helvetica Light" w:cs="Helvetica Light"/>
          <w:sz w:val="24"/>
          <w:sz-cs w:val="24"/>
        </w:rPr>
        <w:t xml:space="preserve">* By geography, the Asia-Pacific region accounted for 33.38% of 2025 revenue, while the Middle East is expected to grow at a 6.26%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Aircraft Engines Market*Driver | (~) % Impact on CAGR Forecast | Geographic Relevance | Impact Timeline | </w:t>
      </w:r>
    </w:p>
    <w:p>
      <w:pPr/>
      <w:r>
        <w:rPr>
          <w:rFonts w:ascii="Helvetica Light" w:hAnsi="Helvetica Light" w:cs="Helvetica Light"/>
          <w:sz w:val="24"/>
          <w:sz-cs w:val="24"/>
        </w:rPr>
        <w:t xml:space="preserve">Fleet-wide shift toward LEAP and GTF engines in fast-growing Asian carriers | +0.90% | Asia-Pacific, South Asia, and Southeast Asia | Medium term (2-4 years) | </w:t>
      </w:r>
    </w:p>
    <w:p>
      <w:pPr/>
      <w:r>
        <w:rPr>
          <w:rFonts w:ascii="Helvetica Light" w:hAnsi="Helvetica Light" w:cs="Helvetica Light"/>
          <w:sz w:val="24"/>
          <w:sz-cs w:val="24"/>
        </w:rPr>
        <w:t xml:space="preserve">Emerging twin-aisle production ramp-up post-supply-chain recovery | +0.60% | Global, with assembly in North America and Europe and demand from Asia-Pacific and the Middle East | Short term (≤ 2 years) | </w:t>
      </w:r>
    </w:p>
    <w:p>
      <w:pPr/>
      <w:r>
        <w:rPr>
          <w:rFonts w:ascii="Helvetica Light" w:hAnsi="Helvetica Light" w:cs="Helvetica Light"/>
          <w:sz w:val="24"/>
          <w:sz-cs w:val="24"/>
        </w:rPr>
        <w:t xml:space="preserve">EU mandates for 100% SAF-ready engines in new type certificates | +0.50% | EU, with influence in the UK, Australia, and allied markets | Medium term (2-4 years) | </w:t>
      </w:r>
    </w:p>
    <w:p>
      <w:pPr/>
      <w:r>
        <w:rPr>
          <w:rFonts w:ascii="Helvetica Light" w:hAnsi="Helvetica Light" w:cs="Helvetica Light"/>
          <w:sz w:val="24"/>
          <w:sz-cs w:val="24"/>
        </w:rPr>
        <w:t xml:space="preserve">NATO transport- and tanker-fleet modernization programs boosting military engine demand | +0.40% | Europe and North America | Medium term (2-4 years) | </w:t>
      </w:r>
    </w:p>
    <w:p>
      <w:pPr/>
      <w:r>
        <w:rPr>
          <w:rFonts w:ascii="Helvetica Light" w:hAnsi="Helvetica Light" w:cs="Helvetica Light"/>
          <w:sz w:val="24"/>
          <w:sz-cs w:val="24"/>
        </w:rPr>
        <w:t xml:space="preserve">Helicopter fleet renewal for offshore energy operations raising turboshaft deliveries | +0.20% | North Sea, Brazil, West Africa, and Asia-Pacific | Short term (≤ 2 years) | </w:t>
      </w:r>
    </w:p>
    <w:p>
      <w:pPr/>
      <w:r>
        <w:rPr>
          <w:rFonts w:ascii="Helvetica Light" w:hAnsi="Helvetica Light" w:cs="Helvetica Light"/>
          <w:sz w:val="24"/>
          <w:sz-cs w:val="24"/>
        </w:rPr>
        <w:t xml:space="preserve">Leasing-driven expansion of African regional-jet operators | +0.10% | Sub-Saharan Africa and North Africa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aircraft engines market is highly concentrated, with General Electric Company, RTX Corporation, Rolls-Royce Holdings plc, Safran SA, and Honeywell Aerospace Inc. forming the principal original equipment groups across commercial and military programs. These companies hold key certifications, program rights, and service relationships for most major commercial platforms. The narrowbody sector is centered on CFM LEAP and Pratt &amp; Whitney GTF engine families. Entry barriers are high because new engines need major development funding, extensive testing, certification, and a long operating record. Airlines also require confidence in maintenance support, spare parts, and engine availability.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Service revenue is a major competitive area because newer fleets are approaching higher volumes of maintenance work. IATA’s call for greater parts access highlights pressure for more competition in engine maintenance. Independent providers compete on repair capabilities, turnaround times, and local capacity. Safran completed its acquisition of Component Repair Technologies in January 2025, adding a 450-person US engine-parts repair specialist. The action strengthened Safran’s repair presence in the Americas and its control of component repair work.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Incumbents are using partnerships to retain a role in new propulsion programs. GE Aerospace invested USD 300 million in Beta Technologies in September 2025 to support the development of hybrid-electric flight. GE Aerospace and Rolls-Royce were selected in June 2026 for medium-thrust Collaborative Combat Aircraft engines. Safran, MTU Aero Engines, and Avio Aero formed a partnership in June 2025 for next-generation military helicopter engines.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Engines Industry Leaders* Safran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General Electric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Rolls-Royce Holdings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Honeywell Aerospace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According to Mordor Intelligence, we define the aircraft engine market as the value of all newly built powerplants installed on fixed- and rotary-wing airframes across commercial, military, and general-aviation fleets; auxiliary power units, used engines, and stand-alone aftermarket parts are out of scope.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After-sale MRO, leased spare engines, and APUs are intentionally excluded to prevent double counting.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Engine Type* Turbofan</w:t>
      </w:r>
    </w:p>
    <w:p>
      <w:pPr/>
      <w:r>
        <w:rPr>
          <w:rFonts w:ascii="Helvetica Light" w:hAnsi="Helvetica Light" w:cs="Helvetica Light"/>
          <w:sz w:val="24"/>
          <w:sz-cs w:val="24"/>
        </w:rPr>
        <w:t xml:space="preserve">* Turboprop</w:t>
      </w:r>
    </w:p>
    <w:p>
      <w:pPr/>
      <w:r>
        <w:rPr>
          <w:rFonts w:ascii="Helvetica Light" w:hAnsi="Helvetica Light" w:cs="Helvetica Light"/>
          <w:sz w:val="24"/>
          <w:sz-cs w:val="24"/>
        </w:rPr>
        <w:t xml:space="preserve">* Turboshaft</w:t>
      </w:r>
    </w:p>
    <w:p>
      <w:pPr/>
      <w:r>
        <w:rPr>
          <w:rFonts w:ascii="Helvetica Light" w:hAnsi="Helvetica Light" w:cs="Helvetica Light"/>
          <w:sz w:val="24"/>
          <w:sz-cs w:val="24"/>
        </w:rPr>
        <w:t xml:space="preserve">* Piston</w:t>
      </w:r>
    </w:p>
    <w:p>
      <w:pPr/>
      <w:r>
        <w:rPr>
          <w:rFonts w:ascii="Helvetica Light" w:hAnsi="Helvetica Light" w:cs="Helvetica Light"/>
          <w:sz w:val="24"/>
          <w:sz-cs w:val="24"/>
        </w:rPr>
        <w:t xml:space="preserve">* Hybrid-Electric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Aircraft Type* Commercial Aviation* Narrowbody Aircraft</w:t>
      </w:r>
    </w:p>
    <w:p>
      <w:pPr/>
      <w:r>
        <w:rPr>
          <w:rFonts w:ascii="Helvetica Light" w:hAnsi="Helvetica Light" w:cs="Helvetica Light"/>
          <w:sz w:val="24"/>
          <w:sz-cs w:val="24"/>
        </w:rPr>
        <w:t xml:space="preserve">* Widebody Aircraft</w:t>
      </w:r>
    </w:p>
    <w:p>
      <w:pPr/>
      <w:r>
        <w:rPr>
          <w:rFonts w:ascii="Helvetica Light" w:hAnsi="Helvetica Light" w:cs="Helvetica Light"/>
          <w:sz w:val="24"/>
          <w:sz-cs w:val="24"/>
        </w:rPr>
        <w:t xml:space="preserve">* Regional Aircraft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Military Aviation* Combat Aircraft</w:t>
      </w:r>
    </w:p>
    <w:p>
      <w:pPr/>
      <w:r>
        <w:rPr>
          <w:rFonts w:ascii="Helvetica Light" w:hAnsi="Helvetica Light" w:cs="Helvetica Light"/>
          <w:sz w:val="24"/>
          <w:sz-cs w:val="24"/>
        </w:rPr>
        <w:t xml:space="preserve">* Non-combat Aircraft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General Aviation* Business Jets</w:t>
      </w:r>
    </w:p>
    <w:p>
      <w:pPr/>
      <w:r>
        <w:rPr>
          <w:rFonts w:ascii="Helvetica Light" w:hAnsi="Helvetica Light" w:cs="Helvetica Light"/>
          <w:sz w:val="24"/>
          <w:sz-cs w:val="24"/>
        </w:rPr>
        <w:t xml:space="preserve">* Helicopters</w:t>
      </w:r>
    </w:p>
    <w:p>
      <w:pPr/>
      <w:r>
        <w:rPr>
          <w:rFonts w:ascii="Helvetica Light" w:hAnsi="Helvetica Light" w:cs="Helvetica Light"/>
          <w:sz w:val="24"/>
          <w:sz-cs w:val="24"/>
        </w:rPr>
        <w:t xml:space="preserve">* Turboprop Aircraft</w:t>
      </w:r>
    </w:p>
    <w:p>
      <w:pPr/>
      <w:r>
        <w:rPr>
          <w:rFonts w:ascii="Helvetica Light" w:hAnsi="Helvetica Light" w:cs="Helvetica Light"/>
          <w:sz w:val="24"/>
          <w:sz-cs w:val="24"/>
        </w:rPr>
        <w:t xml:space="preserve">* Piston Engine Aircraft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Unmanned Aerial Vehicles (UAVs)</w:t>
      </w:r>
    </w:p>
    <w:p>
      <w:pPr/>
      <w:r>
        <w:rPr>
          <w:rFonts w:ascii="Helvetica Light" w:hAnsi="Helvetica Light" w:cs="Helvetica Light"/>
          <w:sz w:val="24"/>
          <w:sz-cs w:val="24"/>
        </w:rPr>
        <w:t xml:space="preserve">* Advanced Air Mobility (AAM)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Conventional Turbofan/Turboprop</w:t>
      </w:r>
    </w:p>
    <w:p>
      <w:pPr/>
      <w:r>
        <w:rPr>
          <w:rFonts w:ascii="Helvetica Light" w:hAnsi="Helvetica Light" w:cs="Helvetica Light"/>
          <w:sz w:val="24"/>
          <w:sz-cs w:val="24"/>
        </w:rPr>
        <w:t xml:space="preserve">* Geared Turbofan (GTF)</w:t>
      </w:r>
    </w:p>
    <w:p>
      <w:pPr/>
      <w:r>
        <w:rPr>
          <w:rFonts w:ascii="Helvetica Light" w:hAnsi="Helvetica Light" w:cs="Helvetica Light"/>
          <w:sz w:val="24"/>
          <w:sz-cs w:val="24"/>
        </w:rPr>
        <w:t xml:space="preserve">* Contra-Rotating Open Rotor</w:t>
      </w:r>
    </w:p>
    <w:p>
      <w:pPr/>
      <w:r>
        <w:rPr>
          <w:rFonts w:ascii="Helvetica Light" w:hAnsi="Helvetica Light" w:cs="Helvetica Light"/>
          <w:sz w:val="24"/>
          <w:sz-cs w:val="24"/>
        </w:rPr>
        <w:t xml:space="preserve">* Adaptive-Cycle Engines</w:t>
      </w:r>
    </w:p>
    <w:p>
      <w:pPr/>
      <w:r>
        <w:rPr>
          <w:rFonts w:ascii="Helvetica Light" w:hAnsi="Helvetica Light" w:cs="Helvetica Light"/>
          <w:sz w:val="24"/>
          <w:sz-cs w:val="24"/>
        </w:rPr>
        <w:t xml:space="preserve">* Hybrid-Electric Propulsion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Thrust Class* Less than 10,000 lbf</w:t>
      </w:r>
    </w:p>
    <w:p>
      <w:pPr/>
      <w:r>
        <w:rPr>
          <w:rFonts w:ascii="Helvetica Light" w:hAnsi="Helvetica Light" w:cs="Helvetica Light"/>
          <w:sz w:val="24"/>
          <w:sz-cs w:val="24"/>
        </w:rPr>
        <w:t xml:space="preserve">* 10,001 to 25,000 lbf</w:t>
      </w:r>
    </w:p>
    <w:p>
      <w:pPr/>
      <w:r>
        <w:rPr>
          <w:rFonts w:ascii="Helvetica Light" w:hAnsi="Helvetica Light" w:cs="Helvetica Light"/>
          <w:sz w:val="24"/>
          <w:sz-cs w:val="24"/>
        </w:rPr>
        <w:t xml:space="preserve">* 25,001 to 50,000 lbf</w:t>
      </w:r>
    </w:p>
    <w:p>
      <w:pPr/>
      <w:r>
        <w:rPr>
          <w:rFonts w:ascii="Helvetica Light" w:hAnsi="Helvetica Light" w:cs="Helvetica Light"/>
          <w:sz w:val="24"/>
          <w:sz-cs w:val="24"/>
        </w:rPr>
        <w:t xml:space="preserve">* Greater than 50,000 lbf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Compressor</w:t>
      </w:r>
    </w:p>
    <w:p>
      <w:pPr/>
      <w:r>
        <w:rPr>
          <w:rFonts w:ascii="Helvetica Light" w:hAnsi="Helvetica Light" w:cs="Helvetica Light"/>
          <w:sz w:val="24"/>
          <w:sz-cs w:val="24"/>
        </w:rPr>
        <w:t xml:space="preserve">* Turbine</w:t>
      </w:r>
    </w:p>
    <w:p>
      <w:pPr/>
      <w:r>
        <w:rPr>
          <w:rFonts w:ascii="Helvetica Light" w:hAnsi="Helvetica Light" w:cs="Helvetica Light"/>
          <w:sz w:val="24"/>
          <w:sz-cs w:val="24"/>
        </w:rPr>
        <w:t xml:space="preserve">* Nozzle</w:t>
      </w:r>
    </w:p>
    <w:p>
      <w:pPr/>
      <w:r>
        <w:rPr>
          <w:rFonts w:ascii="Helvetica Light" w:hAnsi="Helvetica Light" w:cs="Helvetica Light"/>
          <w:sz w:val="24"/>
          <w:sz-cs w:val="24"/>
        </w:rPr>
        <w:t xml:space="preserve">* Gearbox</w:t>
      </w:r>
    </w:p>
    <w:p>
      <w:pPr/>
      <w:r>
        <w:rPr>
          <w:rFonts w:ascii="Helvetica Light" w:hAnsi="Helvetica Light" w:cs="Helvetica Light"/>
          <w:sz w:val="24"/>
          <w:sz-cs w:val="24"/>
        </w:rPr>
        <w:t xml:space="preserve">* Other Components (Fan, Combustor, FADEC and Control Electronics,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OEM Factory-Fit</w:t>
      </w:r>
    </w:p>
    <w:p>
      <w:pPr/>
      <w:r>
        <w:rPr>
          <w:rFonts w:ascii="Helvetica Light" w:hAnsi="Helvetica Light" w:cs="Helvetica Light"/>
          <w:sz w:val="24"/>
          <w:sz-cs w:val="24"/>
        </w:rPr>
        <w:t xml:space="preserve">* Replacement/Aftermarket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expected value of the Aircraft Engines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aircraft engines market is forecast to reach USD 129.69 billion by 2031, growing from USD 109.41 billion in 2026 at a 3.46%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engine type has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Turbofan engines held 64.78% share in 2025 because they power most commercial airline fleets and major military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aircraft engine aftermarket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Replacement and aftermarket services are forecast to grow at an 8.32% CAGR through 2031 as LEAP, GTF, and large-engine fleets enter maintenance cycles.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for aircraft engines?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is projected to grow at a 6.26% CAGR through 2031, supported by widebody airline expansion and fleet orders.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SAF rules affect engine manufacturers?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EU's SAF requirements increase validation and certification work for fuel systems and combustor designs.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the sector concentrated among a small group of companies?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Engine design requires substantial development investment, extensive certification, and global maintenance support, which favor established OEMs.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