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Aircraft Fuel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[https://www.mordorintelligence.com/industry-reports/aircraft-fuel-systems-market](https://www.mordorintelligence.com/industry-reports/aircraft-fuel-systems-market)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11.09 billion |</w:t>
      </w:r>
    </w:p>
    <w:p>
      <w:pPr/>
      <w:r>
        <w:rPr>
          <w:rFonts w:ascii="Helvetica Light" w:hAnsi="Helvetica Light" w:cs="Helvetica Light"/>
          <w:sz w:val="24"/>
          <w:sz-cs w:val="24"/>
        </w:rPr>
        <w:t xml:space="preserve">| **Projected Forecast (2031)** | USD 11.09 billion |</w:t>
      </w:r>
    </w:p>
    <w:p>
      <w:pPr/>
      <w:r>
        <w:rPr>
          <w:rFonts w:ascii="Helvetica Light" w:hAnsi="Helvetica Light" w:cs="Helvetica Light"/>
          <w:sz w:val="24"/>
          <w:sz-cs w:val="24"/>
        </w:rPr>
        <w:t xml:space="preserve">| **Growth Rate (CAGR)** | 4.47 %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Aircraft Fuel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Share by End Use,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11.09 Billion | </w:t>
      </w:r>
    </w:p>
    <w:p>
      <w:pPr/>
      <w:r>
        <w:rPr>
          <w:rFonts w:ascii="Helvetica Light" w:hAnsi="Helvetica Light" w:cs="Helvetica Light"/>
          <w:sz w:val="24"/>
          <w:sz-cs w:val="24"/>
        </w:rPr>
        <w:t xml:space="preserve">Market Size (2031) | USD 13.81 Billion | </w:t>
      </w:r>
    </w:p>
    <w:p>
      <w:pPr/>
      <w:r>
        <w:rPr>
          <w:rFonts w:ascii="Helvetica Light" w:hAnsi="Helvetica Light" w:cs="Helvetica Light"/>
          <w:sz w:val="24"/>
          <w:sz-cs w:val="24"/>
        </w:rPr>
        <w:t xml:space="preserve">Growth Rate (2026 - 2031) | 4.47 %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Market Analysis by Mordor IntelligenceThe aircraft fuel systems market size is expected to grow from USD 10.62 billion in 2025 to USD 11.09 billion in 2026 and is forecast to reach USD 13.81 billion by 2031 at 4.47% CAGR over 2026-2031. Heightened aircraft production schedules, autonomy-driven refueling programs, and digital retrofits reinforce demand even as raw-material shortages challenge supply continuity. Airbus alone handed over 51 aircraft in May 2025, led by the A321neo and A321XLR, underscoring a rebound in single-aisle deliveries that depend on advanced fuel-saving architectures. Parallel momentum stems from a USD 898 million US Navy order covering three MQ-25 Stingray unmanned tankers, inauguring autonomous aerial refueling at sea. North American incumbents such as Parker Hannifin recorded 12% aerospace revenue growth to USD 1.6 billion in Q3 2025, signalling healthy aftermarket pull-through. Asia-Pacific provides the fastest regional lift, posting a 5.78% CAGR on the back of airport infrastructure expansion and rising defence budgets. Regulatory insistence on nitrogen-inerting and shifting toward sustainable aviation fuels (SAF) further stimulates technology upgrades, offsetting certification cost pressures and titanium supply disruptions that persist across civil and military value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gravity feed accounted for 45.05% of the aircraft fuel systems market size in 2025, whereas the fuel injection systems segment is projected to climb at a 6.07% CAGR.</w:t>
      </w:r>
    </w:p>
    <w:p>
      <w:pPr/>
      <w:r>
        <w:rPr>
          <w:rFonts w:ascii="Helvetica Light" w:hAnsi="Helvetica Light" w:cs="Helvetica Light"/>
          <w:sz w:val="24"/>
          <w:sz-cs w:val="24"/>
        </w:rPr>
        <w:t xml:space="preserve">* By technology, conventional mechanical systems retained 39.45% of the aircraft fuel systems market share in 2025, while smart/connected systems are advancing at a 6.61% CAGR to 2031.</w:t>
      </w:r>
    </w:p>
    <w:p>
      <w:pPr/>
      <w:r>
        <w:rPr>
          <w:rFonts w:ascii="Helvetica Light" w:hAnsi="Helvetica Light" w:cs="Helvetica Light"/>
          <w:sz w:val="24"/>
          <w:sz-cs w:val="24"/>
        </w:rPr>
        <w:t xml:space="preserve">* By component, fuel tanks dominated, with a 36.15% share of the aircraft fuel systems market in 2025; inerting systems represent the fastest-growing component, with a 5.55% CAGR.</w:t>
      </w:r>
    </w:p>
    <w:p>
      <w:pPr/>
      <w:r>
        <w:rPr>
          <w:rFonts w:ascii="Helvetica Light" w:hAnsi="Helvetica Light" w:cs="Helvetica Light"/>
          <w:sz w:val="24"/>
          <w:sz-cs w:val="24"/>
        </w:rPr>
        <w:t xml:space="preserve">* By aircraft class, commercial aircraft controlled 59.62% revenue share in 2025; unmanned aerial vehicles are expanding at a 7.55% CAGR during 2026-2031.</w:t>
      </w:r>
    </w:p>
    <w:p>
      <w:pPr/>
      <w:r>
        <w:rPr>
          <w:rFonts w:ascii="Helvetica Light" w:hAnsi="Helvetica Light" w:cs="Helvetica Light"/>
          <w:sz w:val="24"/>
          <w:sz-cs w:val="24"/>
        </w:rPr>
        <w:t xml:space="preserve">* By end use, OEM sales accounted for 65.02% of the aircraft fuel systems market size in 2025, whereas the aftermarket segment is projected to climb at a 6.28% CAGR.</w:t>
      </w:r>
    </w:p>
    <w:p>
      <w:pPr/>
      <w:r>
        <w:rPr>
          <w:rFonts w:ascii="Helvetica Light" w:hAnsi="Helvetica Light" w:cs="Helvetica Light"/>
          <w:sz w:val="24"/>
          <w:sz-cs w:val="24"/>
        </w:rPr>
        <w:t xml:space="preserve">* Regionally, North America held 41.98% of the aircraft fuel systems market share in 2025, yet Asia-Pacific is forecasted to post the highest 5.55%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Aircraft Fuel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Impact on CAGR Forecast | Geographic Relevance | Impact Timeline | </w:t>
      </w:r>
    </w:p>
    <w:p>
      <w:pPr/>
      <w:r>
        <w:rPr>
          <w:rFonts w:ascii="Helvetica Light" w:hAnsi="Helvetica Light" w:cs="Helvetica Light"/>
          <w:sz w:val="24"/>
          <w:sz-cs w:val="24"/>
        </w:rPr>
        <w:t xml:space="preserve">Surging global commercial aircraft deliveries | +1.2% | Global (APAC and North America concentration) | Medium term (2-4 years) | </w:t>
      </w:r>
    </w:p>
    <w:p>
      <w:pPr/>
      <w:r>
        <w:rPr>
          <w:rFonts w:ascii="Helvetica Light" w:hAnsi="Helvetica Light" w:cs="Helvetica Light"/>
          <w:sz w:val="24"/>
          <w:sz-cs w:val="24"/>
        </w:rPr>
        <w:t xml:space="preserve">Expansion of military aerial-refueling programs | +0.8% | North America, Europe, APAC defense corridors | Long term (≥ 4 years) | </w:t>
      </w:r>
    </w:p>
    <w:p>
      <w:pPr/>
      <w:r>
        <w:rPr>
          <w:rFonts w:ascii="Helvetica Light" w:hAnsi="Helvetica Light" w:cs="Helvetica Light"/>
          <w:sz w:val="24"/>
          <w:sz-cs w:val="24"/>
        </w:rPr>
        <w:t xml:space="preserve">Rapid fleet modernization toward fuel-efficient platforms | +1.0% | Global, led by North America and Europe | Medium term (2-4 years) | </w:t>
      </w:r>
    </w:p>
    <w:p>
      <w:pPr/>
      <w:r>
        <w:rPr>
          <w:rFonts w:ascii="Helvetica Light" w:hAnsi="Helvetica Light" w:cs="Helvetica Light"/>
          <w:sz w:val="24"/>
          <w:sz-cs w:val="24"/>
        </w:rPr>
        <w:t xml:space="preserve">Rising UAV procurement across civil and defense sectors | +0.6% | Global, early adoption in North America and Europe | Short term (≤ 2 years) | </w:t>
      </w:r>
    </w:p>
    <w:p>
      <w:pPr/>
      <w:r>
        <w:rPr>
          <w:rFonts w:ascii="Helvetica Light" w:hAnsi="Helvetica Light" w:cs="Helvetica Light"/>
          <w:sz w:val="24"/>
          <w:sz-cs w:val="24"/>
        </w:rPr>
        <w:t xml:space="preserve">Predictive analytics integration for real-time fuel-system health | +0.4% | North America, Europe, advanced APAC markets | Short term (≤ 2 years) | </w:t>
      </w:r>
    </w:p>
    <w:p>
      <w:pPr/>
      <w:r>
        <w:rPr>
          <w:rFonts w:ascii="Helvetica Light" w:hAnsi="Helvetica Light" w:cs="Helvetica Light"/>
          <w:sz w:val="24"/>
          <w:sz-cs w:val="24"/>
        </w:rPr>
        <w:t xml:space="preserve">Mandatory retrofit of nitrogen-inerting systems for safety | +0.3% | Global (FAA and EASA-driven)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fuel systems market features a moderately concentrated profile where the top five suppliers account for roughly 55-60% of revenue. Parker Hannifin’s aerospace bookings reached USD 7.3 billion by Q3 2025, buoyed by Airbus single-aisle demand and F-35 spares. Safran recorded EUR 7.26 billion (USD 8.51 billion) Q1 2025 revenue, with a 25.1% jump in civil-engine spare-parts turnover that confirms aftermarket resilience.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realignment continues: Woodward agreed to acquire Safran’s electromechanical actuation unit, broadening its fuel-control heritage just as the GE Aviation-Woodward joint venture scales integrated fuel systems for wide-body engines. Honeywell leverages Connected Maintenance to reduce unscheduled events by 30-50%, translating digital leadership into long-term service agreements.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opportunities cluster around hydrogen storage, autonomous UAV refuelling, and high-blend SAF lines where incumbent IP positions are less fortified. GKN Aerospace’s participation in the ICEFlight cryogenic hydrogen project signals early moves toward fuel-cell architectures that could reshape competitive hierarchies.[5]GKN Aerospace, “ICEFlight Hydrogen Collaboration,” gknaerospace.com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Aircraft Fuel Systems Industry Leaders* Eaton Corporation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Parker-Hannifin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Woodward,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Crane Aerospace &amp; Electronics (Crane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equipment and assemblies used on aircraft to store aviation fuel, measure it, and safely move it from tanks to engines and the auxiliary power unit during operation, including control and conditioning elements.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ground refueling and fueling infrastructure (such as airport refuel trucks, hydrant networks, and fuel storage depots)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Gravity Feed</w:t>
      </w:r>
    </w:p>
    <w:p>
      <w:pPr/>
      <w:r>
        <w:rPr>
          <w:rFonts w:ascii="Helvetica Light" w:hAnsi="Helvetica Light" w:cs="Helvetica Light"/>
          <w:sz w:val="24"/>
          <w:sz-cs w:val="24"/>
        </w:rPr>
        <w:t xml:space="preserve">* Pump Feed</w:t>
      </w:r>
    </w:p>
    <w:p>
      <w:pPr/>
      <w:r>
        <w:rPr>
          <w:rFonts w:ascii="Helvetica Light" w:hAnsi="Helvetica Light" w:cs="Helvetica Light"/>
          <w:sz w:val="24"/>
          <w:sz-cs w:val="24"/>
        </w:rPr>
        <w:t xml:space="preserve">* Fuel Injection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Fuel Tanks</w:t>
      </w:r>
    </w:p>
    <w:p>
      <w:pPr/>
      <w:r>
        <w:rPr>
          <w:rFonts w:ascii="Helvetica Light" w:hAnsi="Helvetica Light" w:cs="Helvetica Light"/>
          <w:sz w:val="24"/>
          <w:sz-cs w:val="24"/>
        </w:rPr>
        <w:t xml:space="preserve">* Fuel Pumps</w:t>
      </w:r>
    </w:p>
    <w:p>
      <w:pPr/>
      <w:r>
        <w:rPr>
          <w:rFonts w:ascii="Helvetica Light" w:hAnsi="Helvetica Light" w:cs="Helvetica Light"/>
          <w:sz w:val="24"/>
          <w:sz-cs w:val="24"/>
        </w:rPr>
        <w:t xml:space="preserve">* Valves and Manifolds</w:t>
      </w:r>
    </w:p>
    <w:p>
      <w:pPr/>
      <w:r>
        <w:rPr>
          <w:rFonts w:ascii="Helvetica Light" w:hAnsi="Helvetica Light" w:cs="Helvetica Light"/>
          <w:sz w:val="24"/>
          <w:sz-cs w:val="24"/>
        </w:rPr>
        <w:t xml:space="preserve">* Gauges and Sensors</w:t>
      </w:r>
    </w:p>
    <w:p>
      <w:pPr/>
      <w:r>
        <w:rPr>
          <w:rFonts w:ascii="Helvetica Light" w:hAnsi="Helvetica Light" w:cs="Helvetica Light"/>
          <w:sz w:val="24"/>
          <w:sz-cs w:val="24"/>
        </w:rPr>
        <w:t xml:space="preserve">* Inerting Systems</w:t>
      </w:r>
    </w:p>
    <w:p>
      <w:pPr/>
      <w:r>
        <w:rPr>
          <w:rFonts w:ascii="Helvetica Light" w:hAnsi="Helvetica Light" w:cs="Helvetica Light"/>
          <w:sz w:val="24"/>
          <w:sz-cs w:val="24"/>
        </w:rPr>
        <w:t xml:space="preserve">* Fuel Filters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Class* Commercial Aircraft* Narrowbody Aircraft</w:t>
      </w:r>
    </w:p>
    <w:p>
      <w:pPr/>
      <w:r>
        <w:rPr>
          <w:rFonts w:ascii="Helvetica Light" w:hAnsi="Helvetica Light" w:cs="Helvetica Light"/>
          <w:sz w:val="24"/>
          <w:sz-cs w:val="24"/>
        </w:rPr>
        <w:t xml:space="preserve">* Widebody Aircraft</w:t>
      </w:r>
    </w:p>
    <w:p>
      <w:pPr/>
      <w:r>
        <w:rPr>
          <w:rFonts w:ascii="Helvetica Light" w:hAnsi="Helvetica Light" w:cs="Helvetica Light"/>
          <w:sz w:val="24"/>
          <w:sz-cs w:val="24"/>
        </w:rPr>
        <w:t xml:space="preserve">* Regional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Military Aircraft* Combat Aircraft</w:t>
      </w:r>
    </w:p>
    <w:p>
      <w:pPr/>
      <w:r>
        <w:rPr>
          <w:rFonts w:ascii="Helvetica Light" w:hAnsi="Helvetica Light" w:cs="Helvetica Light"/>
          <w:sz w:val="24"/>
          <w:sz-cs w:val="24"/>
        </w:rPr>
        <w:t xml:space="preserve">* Non-Combat Aircraft</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Aviation Aircraft* Business Jets</w:t>
      </w:r>
    </w:p>
    <w:p>
      <w:pPr/>
      <w:r>
        <w:rPr>
          <w:rFonts w:ascii="Helvetica Light" w:hAnsi="Helvetica Light" w:cs="Helvetica Light"/>
          <w:sz w:val="24"/>
          <w:sz-cs w:val="24"/>
        </w:rPr>
        <w:t xml:space="preserve">* Turboprop Aircraft</w:t>
      </w:r>
    </w:p>
    <w:p>
      <w:pPr/>
      <w:r>
        <w:rPr>
          <w:rFonts w:ascii="Helvetica Light" w:hAnsi="Helvetica Light" w:cs="Helvetica Light"/>
          <w:sz w:val="24"/>
          <w:sz-cs w:val="24"/>
        </w:rPr>
        <w:t xml:space="preserve">* Piston Aircraft</w:t>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Unmanned Aerial Vehicles (UAVs)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 OEM</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Conventional Mechanical Systems</w:t>
      </w:r>
    </w:p>
    <w:p>
      <w:pPr/>
      <w:r>
        <w:rPr>
          <w:rFonts w:ascii="Helvetica Light" w:hAnsi="Helvetica Light" w:cs="Helvetica Light"/>
          <w:sz w:val="24"/>
          <w:sz-cs w:val="24"/>
        </w:rPr>
        <w:t xml:space="preserve">* FADEC-Integrated Electric Systems</w:t>
      </w:r>
    </w:p>
    <w:p>
      <w:pPr/>
      <w:r>
        <w:rPr>
          <w:rFonts w:ascii="Helvetica Light" w:hAnsi="Helvetica Light" w:cs="Helvetica Light"/>
          <w:sz w:val="24"/>
          <w:sz-cs w:val="24"/>
        </w:rPr>
        <w:t xml:space="preserve">* Inerting-Enabled Systems</w:t>
      </w:r>
    </w:p>
    <w:p>
      <w:pPr/>
      <w:r>
        <w:rPr>
          <w:rFonts w:ascii="Helvetica Light" w:hAnsi="Helvetica Light" w:cs="Helvetica Light"/>
          <w:sz w:val="24"/>
          <w:sz-cs w:val="24"/>
        </w:rPr>
        <w:t xml:space="preserve">* Smart/Connected Fuel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Egypt</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growth outlook for the aircraft fuel systems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aircraft fuel systems market is projected to rise from USD 11.09 billion in 2026 to USD 13.81 billion in 2031, reflecting a 4.47%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forecasted to post a 5.55% CAGR, driven by large commercial fleet additions and growing defence budgets.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significant is the aftermarket compared with OEM deliveries?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 sales still lead with 65.02% revenue share in 2025, yet the aftermarket is growing faster at 6.28% CAGR thanks to predictive maintenance and life-extension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segment shows the highest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Smart/connected fuel systems lead with a 6.61% CAGR as airlines adopt data-rich solutions for predictive health monitoring.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nitrogen-inerting systems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FAA flammability rules require operators to limit tank exposure, prompting a retrofit wave that positions inerting assemblies as the fastest-growing component category at 5.55%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UAV adoption influence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fuel systems exhibit a 7.55% CAGR because autonomy and long-endurance missions demand lightweight, highly automated tanks and flow-control hardware.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