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Asia-Pacific Green Buildings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Green Buildings &amp; Sustainable Construction (Real Estate &amp; Construction)  </w:t>
      </w:r>
    </w:p>
    <w:p>
      <w:pPr/>
      <w:r>
        <w:rPr>
          <w:rFonts w:ascii="Helvetica Light" w:hAnsi="Helvetica Light" w:cs="Helvetica Light"/>
          <w:sz w:val="24"/>
          <w:sz-cs w:val="24"/>
        </w:rPr>
        <w:t xml:space="preserve">&gt; **Source:** [https://www.mordorintelligence.com/industry-reports/apac-green-buildings-market](https://www.mordorintelligence.com/industry-reports/apac-green-buildings-market)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153.51 billion |</w:t>
      </w:r>
    </w:p>
    <w:p>
      <w:pPr/>
      <w:r>
        <w:rPr>
          <w:rFonts w:ascii="Helvetica Light" w:hAnsi="Helvetica Light" w:cs="Helvetica Light"/>
          <w:sz w:val="24"/>
          <w:sz-cs w:val="24"/>
        </w:rPr>
        <w:t xml:space="preserve">| **Projected Forecast (2031)** | USD 153.51 billion |</w:t>
      </w:r>
    </w:p>
    <w:p>
      <w:pPr/>
      <w:r>
        <w:rPr>
          <w:rFonts w:ascii="Helvetica Light" w:hAnsi="Helvetica Light" w:cs="Helvetica Light"/>
          <w:sz w:val="24"/>
          <w:sz-cs w:val="24"/>
        </w:rPr>
        <w:t xml:space="preserve">| **Growth Rate (CAGR)** | 10.67 %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Asia-Pacific Green Buildings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Green Buildings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Green Buildings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Green Buildings Market: Market Share by Construction Stage](images/chart_5.png)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Green Buildings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138.71 Billion | </w:t>
      </w:r>
    </w:p>
    <w:p>
      <w:pPr/>
      <w:r>
        <w:rPr>
          <w:rFonts w:ascii="Helvetica Light" w:hAnsi="Helvetica Light" w:cs="Helvetica Light"/>
          <w:sz w:val="24"/>
          <w:sz-cs w:val="24"/>
        </w:rPr>
        <w:t xml:space="preserve">Market Size (2026) | USD 153.51 Billion | </w:t>
      </w:r>
    </w:p>
    <w:p>
      <w:pPr/>
      <w:r>
        <w:rPr>
          <w:rFonts w:ascii="Helvetica Light" w:hAnsi="Helvetica Light" w:cs="Helvetica Light"/>
          <w:sz w:val="24"/>
          <w:sz-cs w:val="24"/>
        </w:rPr>
        <w:t xml:space="preserve">Market Size (2031) | USD 254.87 Billion | </w:t>
      </w:r>
    </w:p>
    <w:p>
      <w:pPr/>
      <w:r>
        <w:rPr>
          <w:rFonts w:ascii="Helvetica Light" w:hAnsi="Helvetica Light" w:cs="Helvetica Light"/>
          <w:sz w:val="24"/>
          <w:sz-cs w:val="24"/>
        </w:rPr>
        <w:t xml:space="preserve">Growth Rate (2026 - 2031) | 10.67 %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Green Buildings Market Analysis by Mordor IntelligenceThe Asia-Pacific Green Buildings Market size was valued at USD 138.71 billion in 2025 and is estimated to grow from USD 153.51 billion in 2026 to reach USD 254.87 billion by 2031, at a CAGR of 10.67%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Policy-driven energy-performance codes, investor appetite for sustainable assets, and accelerating electricity tariffs are converting energy efficiency from a voluntary premium into a core design requirement across new projects and deep retrofits. Building-automation platforms that cut operating costs by 20-30%, abundant green-finance lines that narrow the cost‐of-capital gap, and tenant demand for ESG-aligned space are reinforcing a positive feedback loop that sustains volume growth across the Asia-Pacific green buildings market. Competitive intensity remains high as global multinationals and regional conglomerates race to control certified‐material supply chains and secure early positions in the fastest-growing retrofit niches. Government roadmaps that mandate net-zero new-builds between 2030 and 2050 ensure that the addressable opportunity in the Asia-Pacific green buildings market extends well beyond the current forecast window.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Building Systems led with 39.9% of the Asia-Pacific green buildings market share in 2025; Solar Products are projected to expand at an 11.08% CAGR through 2031.</w:t>
      </w:r>
    </w:p>
    <w:p>
      <w:pPr/>
      <w:r>
        <w:rPr>
          <w:rFonts w:ascii="Helvetica Light" w:hAnsi="Helvetica Light" w:cs="Helvetica Light"/>
          <w:sz w:val="24"/>
          <w:sz-cs w:val="24"/>
        </w:rPr>
        <w:t xml:space="preserve">* By end user, the Residential segment commanded 54.8% of the Asia-Pacific green buildings market size in 2025, while Commercial applications are on track to record a 10.98% CAGR to 2031.</w:t>
      </w:r>
    </w:p>
    <w:p>
      <w:pPr/>
      <w:r>
        <w:rPr>
          <w:rFonts w:ascii="Helvetica Light" w:hAnsi="Helvetica Light" w:cs="Helvetica Light"/>
          <w:sz w:val="24"/>
          <w:sz-cs w:val="24"/>
        </w:rPr>
        <w:t xml:space="preserve">* By construction stage, New Construction generated 67.3% of the Asia-Pacific green buildings market revenue in 2025, and Renovation is forecast to grow at an 11.21% CAGR over 2026-2031.</w:t>
      </w:r>
    </w:p>
    <w:p>
      <w:pPr/>
      <w:r>
        <w:rPr>
          <w:rFonts w:ascii="Helvetica Light" w:hAnsi="Helvetica Light" w:cs="Helvetica Light"/>
          <w:sz w:val="24"/>
          <w:sz-cs w:val="24"/>
        </w:rPr>
        <w:t xml:space="preserve">* By geography, China captured 38.5% of 2025 revenue, whereas India is expected to post the quickest expansion at an 11.78%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Green Buildings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Drivers | (~) % IMPACT ON CAGR FORECAST | Geographic Relevance | Impact Timeline | </w:t>
      </w:r>
    </w:p>
    <w:p>
      <w:pPr/>
      <w:r>
        <w:rPr>
          <w:rFonts w:ascii="Helvetica Light" w:hAnsi="Helvetica Light" w:cs="Helvetica Light"/>
          <w:sz w:val="24"/>
          <w:sz-cs w:val="24"/>
        </w:rPr>
        <w:t xml:space="preserve">Government net-zero targets and progressively tightening green-building codes | +3.2% | China, India, Japan, South Korea, Australia, Singapore | Medium term (2–4 years) | </w:t>
      </w:r>
    </w:p>
    <w:p>
      <w:pPr/>
      <w:r>
        <w:rPr>
          <w:rFonts w:ascii="Helvetica Light" w:hAnsi="Helvetica Light" w:cs="Helvetica Light"/>
          <w:sz w:val="24"/>
          <w:sz-cs w:val="24"/>
        </w:rPr>
        <w:t xml:space="preserve">Rapid urbanization alongside expansion of new commercial corridors | +2.8% | India, China, Indonesia | Long term (≥ 4 years) | </w:t>
      </w:r>
    </w:p>
    <w:p>
      <w:pPr/>
      <w:r>
        <w:rPr>
          <w:rFonts w:ascii="Helvetica Light" w:hAnsi="Helvetica Light" w:cs="Helvetica Light"/>
          <w:sz w:val="24"/>
          <w:sz-cs w:val="24"/>
        </w:rPr>
        <w:t xml:space="preserve">Electricity tariff inflation improving payback economics for efficiency upgrades | +2.3% | Singapore, Australia, India, Japan | Short term (≤ 2 years) | </w:t>
      </w:r>
    </w:p>
    <w:p>
      <w:pPr/>
      <w:r>
        <w:rPr>
          <w:rFonts w:ascii="Helvetica Light" w:hAnsi="Helvetica Light" w:cs="Helvetica Light"/>
          <w:sz w:val="24"/>
          <w:sz-cs w:val="24"/>
        </w:rPr>
        <w:t xml:space="preserve">Investor and tenant preference for ESG-compliant real estate assets | +1.9% | China, India, Singapore, Australia | Medium term (2–4 years) | </w:t>
      </w:r>
    </w:p>
    <w:p>
      <w:pPr/>
      <w:r>
        <w:rPr>
          <w:rFonts w:ascii="Helvetica Light" w:hAnsi="Helvetica Light" w:cs="Helvetica Light"/>
          <w:sz w:val="24"/>
          <w:sz-cs w:val="24"/>
        </w:rPr>
        <w:t xml:space="preserve">Expanding availability of green-finance incentives and sustainability-linked funding | +1.5% | Singapore, China, Hong Kong, Australia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across the Asia-Pacific green buildings market remains highly fragmented, with no single player commanding a dominant regional position. Strategic positioning revolves around vertical integration, digital differentiation, and regional expansion. Johnson Controls’ USD 60 million Innovation Centre in Singapore develops liquid-immersion cooling and AI control loops aimed at hyperscale data centers that demand sub-PUE levels. China State Construction Engineering Corporation leverages factory automation to deliver 95% prefab hospitals and schools, reducing on-site labor risks and accelerating completion schedules that appeal to public agencies under tight fiscal deadlines.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second competitive tier comprises regional construction majors and material specialists scaling circular production. Sika’s January 2025 acquisition of Elmich injects a 100% recycled green-roof system into Sika’s Asian portfolio, positioning the firm for mandated stormwater solutions in dense cities. Saint-Gobain’s glass and insulation capacity expansions in India and Malaysia localize high-performance envelope components, slashing lead times that have hampered developers under compressed project windows. Tech-centric disruptors offer cloud-based energy analytics; Schneider Electric’s EcoStruxure and Honeywell’s Forge platforms are converging with carbon-trading APIs to let owners visualize savings and generate credits in real 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M&amp;A and joint ventures are accelerating as players chase scale in services and technology. Sumitomo Forestry and Mirvac’s 50-50 Highforest JV secures land, design, and sales expertise in one structure, lowering execution risk for a USD 549 million community. Financial innovation is equally fierce; GuocoLand’s repeat green-club financings build a track record that yields progressively tighter spreads. Across segments, the ability to prove energy savings, document embodied-carbon cuts, and compress build schedules is emerging as the decisive factor for winning bids in the Asia-Pacific green buildings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Green Buildings Industry Leaders* Johnson Controls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Daikin Industries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Saint-Gobain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Panasonic Holdings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Kingspan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Green Buildings Market Report ScopeBy Product TypeExterior Products | </w:t>
      </w:r>
    </w:p>
    <w:p>
      <w:pPr/>
      <w:r>
        <w:rPr>
          <w:rFonts w:ascii="Helvetica Light" w:hAnsi="Helvetica Light" w:cs="Helvetica Light"/>
          <w:sz w:val="24"/>
          <w:sz-cs w:val="24"/>
        </w:rPr>
        <w:t xml:space="preserve">Interior Products | </w:t>
      </w:r>
    </w:p>
    <w:p>
      <w:pPr/>
      <w:r>
        <w:rPr>
          <w:rFonts w:ascii="Helvetica Light" w:hAnsi="Helvetica Light" w:cs="Helvetica Light"/>
          <w:sz w:val="24"/>
          <w:sz-cs w:val="24"/>
        </w:rPr>
        <w:t xml:space="preserve">Building Systems | </w:t>
      </w:r>
    </w:p>
    <w:p>
      <w:pPr/>
      <w:r>
        <w:rPr>
          <w:rFonts w:ascii="Helvetica Light" w:hAnsi="Helvetica Light" w:cs="Helvetica Light"/>
          <w:sz w:val="24"/>
          <w:sz-cs w:val="24"/>
        </w:rPr>
        <w:t xml:space="preserve">Solar Products | </w:t>
      </w:r>
    </w:p>
    <w:p>
      <w:pPr/>
      <w:r>
        <w:rPr>
          <w:rFonts w:ascii="Helvetica Light" w:hAnsi="Helvetica Light" w:cs="Helvetica Light"/>
          <w:sz w:val="24"/>
          <w:sz-cs w:val="24"/>
        </w:rPr>
        <w:t xml:space="preserve">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CountryChina | </w:t>
      </w:r>
    </w:p>
    <w:p>
      <w:pPr/>
      <w:r>
        <w:rPr>
          <w:rFonts w:ascii="Helvetica Light" w:hAnsi="Helvetica Light" w:cs="Helvetica Light"/>
          <w:sz w:val="24"/>
          <w:sz-cs w:val="24"/>
        </w:rPr>
        <w:t xml:space="preserve">India | </w:t>
      </w:r>
    </w:p>
    <w:p>
      <w:pPr/>
      <w:r>
        <w:rPr>
          <w:rFonts w:ascii="Helvetica Light" w:hAnsi="Helvetica Light" w:cs="Helvetica Light"/>
          <w:sz w:val="24"/>
          <w:sz-cs w:val="24"/>
        </w:rPr>
        <w:t xml:space="preserve">Japan | </w:t>
      </w:r>
    </w:p>
    <w:p>
      <w:pPr/>
      <w:r>
        <w:rPr>
          <w:rFonts w:ascii="Helvetica Light" w:hAnsi="Helvetica Light" w:cs="Helvetica Light"/>
          <w:sz w:val="24"/>
          <w:sz-cs w:val="24"/>
        </w:rPr>
        <w:t xml:space="preserve">South Korea | </w:t>
      </w:r>
    </w:p>
    <w:p>
      <w:pPr/>
      <w:r>
        <w:rPr>
          <w:rFonts w:ascii="Helvetica Light" w:hAnsi="Helvetica Light" w:cs="Helvetica Light"/>
          <w:sz w:val="24"/>
          <w:sz-cs w:val="24"/>
        </w:rPr>
        <w:t xml:space="preserve">Australia | </w:t>
      </w:r>
    </w:p>
    <w:p>
      <w:pPr/>
      <w:r>
        <w:rPr>
          <w:rFonts w:ascii="Helvetica Light" w:hAnsi="Helvetica Light" w:cs="Helvetica Light"/>
          <w:sz w:val="24"/>
          <w:sz-cs w:val="24"/>
        </w:rPr>
        <w:t xml:space="preserve">Indonesia | </w:t>
      </w:r>
    </w:p>
    <w:p>
      <w:pPr/>
      <w:r>
        <w:rPr>
          <w:rFonts w:ascii="Helvetica Light" w:hAnsi="Helvetica Light" w:cs="Helvetica Light"/>
          <w:sz w:val="24"/>
          <w:sz-cs w:val="24"/>
        </w:rPr>
        <w:t xml:space="preserve">Rest of Asia-Pacific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spending on green construction in the Asia-Pacific be by 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Asia-Pacific green buildings market size is projected to reach USD 254.87 billion by 2031, reflecting a 10.67%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growing the fastest?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Solar Products are anticipated to expand at 11.08% annually as on-site generation becomes mandatory for many new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renovation activity accelerating?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Tighter energy-performance codes for existing stock and favorable sustainability-linked loans make deep retrofits financially attractive, driving an 11.21%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offers the highest growth potential after China?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leads with an expected 11.78% CAGR thanks to rapid urbanization, rising tariffs, and a robust green-bond pipeline exceeding USD 5 billion in 2024-2025.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investors influencing adoption?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Institutional investors now embed carbon criteria in acquisition and leasing decisions, allowing certified assets to command 4-24% rent premiums and lower financing spreads.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barrier for affordable housing projects?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Higher upfront costs for low-carbon materials and limited access to concessional finance slow adoption in price-sensitive residential segments.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