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ASEAN Office Real Estate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Real Estate &amp; Property (Real Estate &amp; Construction)  </w:t>
      </w:r>
    </w:p>
    <w:p>
      <w:pPr/>
      <w:r>
        <w:rPr>
          <w:rFonts w:ascii="Helvetica Light" w:hAnsi="Helvetica Light" w:cs="Helvetica Light"/>
          <w:sz w:val="24"/>
          <w:sz-cs w:val="24"/>
        </w:rPr>
        <w:t xml:space="preserve">&gt; **Source:** [https://www.mordorintelligence.com/industry-reports/asean-office-real-estate-market](https://www.mordorintelligence.com/industry-reports/asean-office-real-estate-market)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27.03 billion |</w:t>
      </w:r>
    </w:p>
    <w:p>
      <w:pPr/>
      <w:r>
        <w:rPr>
          <w:rFonts w:ascii="Helvetica Light" w:hAnsi="Helvetica Light" w:cs="Helvetica Light"/>
          <w:sz w:val="24"/>
          <w:sz-cs w:val="24"/>
        </w:rPr>
        <w:t xml:space="preserve">| **Projected Forecast (2031)** | USD 27.03 billion |</w:t>
      </w:r>
    </w:p>
    <w:p>
      <w:pPr/>
      <w:r>
        <w:rPr>
          <w:rFonts w:ascii="Helvetica Light" w:hAnsi="Helvetica Light" w:cs="Helvetica Light"/>
          <w:sz w:val="24"/>
          <w:sz-cs w:val="24"/>
        </w:rPr>
        <w:t xml:space="preserve">| **Growth Rate (CAGR)** | 5.32 %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ASEAN Office Real Estate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Office Real Estate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Office Real Estate Market: Market Share by Building Grade,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Office Real Estate Market: Market Share by End-Use,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Office Real Estate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25.67 Billion | </w:t>
      </w:r>
    </w:p>
    <w:p>
      <w:pPr/>
      <w:r>
        <w:rPr>
          <w:rFonts w:ascii="Helvetica Light" w:hAnsi="Helvetica Light" w:cs="Helvetica Light"/>
          <w:sz w:val="24"/>
          <w:sz-cs w:val="24"/>
        </w:rPr>
        <w:t xml:space="preserve">Market Size (2026) | USD 27.03 Billion | </w:t>
      </w:r>
    </w:p>
    <w:p>
      <w:pPr/>
      <w:r>
        <w:rPr>
          <w:rFonts w:ascii="Helvetica Light" w:hAnsi="Helvetica Light" w:cs="Helvetica Light"/>
          <w:sz w:val="24"/>
          <w:sz-cs w:val="24"/>
        </w:rPr>
        <w:t xml:space="preserve">Market Size (2031) | USD 35.07 Billion | </w:t>
      </w:r>
    </w:p>
    <w:p>
      <w:pPr/>
      <w:r>
        <w:rPr>
          <w:rFonts w:ascii="Helvetica Light" w:hAnsi="Helvetica Light" w:cs="Helvetica Light"/>
          <w:sz w:val="24"/>
          <w:sz-cs w:val="24"/>
        </w:rPr>
        <w:t xml:space="preserve">Growth Rate (2026 - 2031) | 5.32 %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Office Real Estate Market Analysis by Mordor IntelligenceThe ASEAN office real estate market size was valued at USD 25.67 billion in 2025 and estimated to grow from USD 27.03 billion in 2026 to reach USD 35.07 billion by 2031, at a CAGR of 5.32% during the forecast period (2026-2031). Demand momentum is sustained by record foreign direct investment of USD 230 billion in 2023, which has tilted regional corporate footprints toward Southeast Asian capitals. Flight-to-quality preferences keep Grade A offices at the center of leasing strategies, while hybrid work policies push decision-makers to prioritize flexible layouts, digital infrastructure, and green certifications. Multinational tenants in banking, insurance, technology, and professional services continue to consolidate into a smaller number of premium addresses, reinforcing rent resilience in core districts. At the same time, limited prime supply pipelines in Singapore, Bangkok, and Jakarta restrain vacancy growth and support the ASEAN office real estate market’s medium-term pricing power. Government incentives that accelerate digital transformation and sustainability investment complement these trends by widening the tenant base and raising building specifications[1]Satvinder Singh, “ASEAN Investment Report 2024,” ASEAN Secretariat, asean.org.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building grade, Grade A space led with 56.60% revenue share in 2025; it is projected to advance at a 6.05% CAGR through 2031.</w:t>
      </w:r>
    </w:p>
    <w:p>
      <w:pPr/>
      <w:r>
        <w:rPr>
          <w:rFonts w:ascii="Helvetica Light" w:hAnsi="Helvetica Light" w:cs="Helvetica Light"/>
          <w:sz w:val="24"/>
          <w:sz-cs w:val="24"/>
        </w:rPr>
        <w:t xml:space="preserve">* By transaction type, rentals commanded 69.70% of ASEAN office real estate market share in 2025, while sales are set to log the fastest 6.20% CAGR to 2031.</w:t>
      </w:r>
    </w:p>
    <w:p>
      <w:pPr/>
      <w:r>
        <w:rPr>
          <w:rFonts w:ascii="Helvetica Light" w:hAnsi="Helvetica Light" w:cs="Helvetica Light"/>
          <w:sz w:val="24"/>
          <w:sz-cs w:val="24"/>
        </w:rPr>
        <w:t xml:space="preserve">* By end use, BFSI occupiers held 33.40% of the 2025 ASEAN office real estate market size, whereas IT &amp; ITeS segment revenues are forecast to rise at a 6.40% CAGR to 2031.</w:t>
      </w:r>
    </w:p>
    <w:p>
      <w:pPr/>
      <w:r>
        <w:rPr>
          <w:rFonts w:ascii="Helvetica Light" w:hAnsi="Helvetica Light" w:cs="Helvetica Light"/>
          <w:sz w:val="24"/>
          <w:sz-cs w:val="24"/>
        </w:rPr>
        <w:t xml:space="preserve">* By geography, Indonesia accounted for 47.40% of 2025 revenue, and Vietnam is expected to expand at a 6.72%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Office Real Estate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 % Impact on CAGR Forecast | Geographic Relevance | Impact Timeline | </w:t>
      </w:r>
    </w:p>
    <w:p>
      <w:pPr/>
      <w:r>
        <w:rPr>
          <w:rFonts w:ascii="Helvetica Light" w:hAnsi="Helvetica Light" w:cs="Helvetica Light"/>
          <w:sz w:val="24"/>
          <w:sz-cs w:val="24"/>
        </w:rPr>
        <w:t xml:space="preserve">Sustained foreign investment in Vietnam, Indonesia, and the Philippines driving office demand | +1.5% | Vietnam, Indonesia, Philippines | Long term (≥ 4 years) | </w:t>
      </w:r>
    </w:p>
    <w:p>
      <w:pPr/>
      <w:r>
        <w:rPr>
          <w:rFonts w:ascii="Helvetica Light" w:hAnsi="Helvetica Light" w:cs="Helvetica Light"/>
          <w:sz w:val="24"/>
          <w:sz-cs w:val="24"/>
        </w:rPr>
        <w:t xml:space="preserve">Gradual economic recovery across Southeast Asia improving corporate leasing sentiment | +1.2% | Indonesia, Thailand, Malaysia, Philippines | Medium term (2-4 years) | </w:t>
      </w:r>
    </w:p>
    <w:p>
      <w:pPr/>
      <w:r>
        <w:rPr>
          <w:rFonts w:ascii="Helvetica Light" w:hAnsi="Helvetica Light" w:cs="Helvetica Light"/>
          <w:sz w:val="24"/>
          <w:sz-cs w:val="24"/>
        </w:rPr>
        <w:t xml:space="preserve">Limited new prime office supply in city cores supporting rental stability | +0.9% | Singapore, Bangkok CBD, Jakarta CBD | Medium term (2-4 years) | </w:t>
      </w:r>
    </w:p>
    <w:p>
      <w:pPr/>
      <w:r>
        <w:rPr>
          <w:rFonts w:ascii="Helvetica Light" w:hAnsi="Helvetica Light" w:cs="Helvetica Light"/>
          <w:sz w:val="24"/>
          <w:sz-cs w:val="24"/>
        </w:rPr>
        <w:t xml:space="preserve">Hybrid work adoption increasing demand for flexible, well-located Grade A office spaces | +0.8% | Singapore, Malaysia, Thailand, urban centers | Short term (≤ 2 years) | </w:t>
      </w:r>
    </w:p>
    <w:p>
      <w:pPr/>
      <w:r>
        <w:rPr>
          <w:rFonts w:ascii="Helvetica Light" w:hAnsi="Helvetica Light" w:cs="Helvetica Light"/>
          <w:sz w:val="24"/>
          <w:sz-cs w:val="24"/>
        </w:rPr>
        <w:t xml:space="preserve">Sustainability and green leasing priorities influencing tenant preferences | +0.6% | Singapore, Malaysia, Thailand | Long term (≥ 4 years) | </w:t>
      </w:r>
    </w:p>
    <w:p>
      <w:pPr/>
      <w:r>
        <w:rPr>
          <w:rFonts w:ascii="Helvetica Light" w:hAnsi="Helvetica Light" w:cs="Helvetica Light"/>
          <w:sz w:val="24"/>
          <w:sz-cs w:val="24"/>
        </w:rPr>
        <w:t xml:space="preserve">Technology upgrades in commercial buildings enhancing operational efficiency | +0.4% | Global ASEAN markets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ASEAN Office Real Estate Market is moderately fragmented, with diversified conglomerates, listed REITs, and local champions each carving niches. CapitaLand Group, UOL Group, and City Developments draw on integrated development, asset management, and hospitality arms to recycle capital quickly and capture end-to-end value streams. Mid-tier developers specialize in single-city portfolios or mixed-use precincts, often partnering with pension funds that require operating expertise. Flexible-space operators such as IWG and WeWork collaborate with landlords to activate under-utilized floors, adding subscription revenue and enhancing building stickiness within the ASEAN office real estate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center on portfolio pruning and upgrade. CapitaLand Ascendas REIT deployed USD 543.6 million in May 2025 to acquire two prime assets, signaling confidence in core CBD rent trajectories. Developers offload non-performing assets to recycle proceeds into ESG-compliant towers, while institutional investors increase direct stakes to hedge inflation. Cross-border diversification is also visible; Mapletree Investments opened an Abu Dhabi office in 2024 to source Middle-East capital and co-investment deals, balancing exposure across economic cycles. As capital requirements scale, smaller players either form joint ventures or exit, intensifying consolidation.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and sustainability are the next battlegrounds. Leading landlords roll out digital twins, tenant apps, and energy analytics across portfolios, reducing operating costs and elevating user experience. Portfolio-wide net-zero roadmaps enhance access to green loans and sustainability-linked bonds, cutting weighted average cost of capital by up to 30 basis points. Competitive differentiation will therefore hinge less on sheer floorplate supply and more on integrated service, data transparency, and carbon footprint in the ASEAN office real estate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ASEAN Office Real Estate Industry Leaders* CapitaLand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UOL Group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City Developments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Frasers Property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Keppel Management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value of office real estate activity across ASEAN, measured through realized and expected transactions and leasing economics for office buildings within the covered countries, expressed in USD and tracked over the study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non-office property types (such as retail, industrial, hospitality, and residential) and informal workspace arrangements that are not reported as office real estate transactions.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Building Grade* Grade A</w:t>
      </w:r>
    </w:p>
    <w:p>
      <w:pPr/>
      <w:r>
        <w:rPr>
          <w:rFonts w:ascii="Helvetica Light" w:hAnsi="Helvetica Light" w:cs="Helvetica Light"/>
          <w:sz w:val="24"/>
          <w:sz-cs w:val="24"/>
        </w:rPr>
        <w:t xml:space="preserve">* Grade B</w:t>
      </w:r>
    </w:p>
    <w:p>
      <w:pPr/>
      <w:r>
        <w:rPr>
          <w:rFonts w:ascii="Helvetica Light" w:hAnsi="Helvetica Light" w:cs="Helvetica Light"/>
          <w:sz w:val="24"/>
          <w:sz-cs w:val="24"/>
        </w:rPr>
        <w:t xml:space="preserve">* Grade 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Transaction Type* Rental</w:t>
      </w:r>
    </w:p>
    <w:p>
      <w:pPr/>
      <w:r>
        <w:rPr>
          <w:rFonts w:ascii="Helvetica Light" w:hAnsi="Helvetica Light" w:cs="Helvetica Light"/>
          <w:sz w:val="24"/>
          <w:sz-cs w:val="24"/>
        </w:rPr>
        <w:t xml:space="preserve">*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 Information Technology (IT &amp; ITES)</w:t>
      </w:r>
    </w:p>
    <w:p>
      <w:pPr/>
      <w:r>
        <w:rPr>
          <w:rFonts w:ascii="Helvetica Light" w:hAnsi="Helvetica Light" w:cs="Helvetica Light"/>
          <w:sz w:val="24"/>
          <w:sz-cs w:val="24"/>
        </w:rPr>
        <w:t xml:space="preserve">* BFSI (Banking, Financial Services and Insurance)</w:t>
      </w:r>
    </w:p>
    <w:p>
      <w:pPr/>
      <w:r>
        <w:rPr>
          <w:rFonts w:ascii="Helvetica Light" w:hAnsi="Helvetica Light" w:cs="Helvetica Light"/>
          <w:sz w:val="24"/>
          <w:sz-cs w:val="24"/>
        </w:rPr>
        <w:t xml:space="preserve">* Business Consulting &amp; Professional Services</w:t>
      </w:r>
    </w:p>
    <w:p>
      <w:pPr/>
      <w:r>
        <w:rPr>
          <w:rFonts w:ascii="Helvetica Light" w:hAnsi="Helvetica Light" w:cs="Helvetica Light"/>
          <w:sz w:val="24"/>
          <w:sz-cs w:val="24"/>
        </w:rPr>
        <w:t xml:space="preserve">* Other Services (Retail, Lifesciences, Energy, Legal)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Country* Indonesia</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Philippines</w:t>
      </w:r>
    </w:p>
    <w:p>
      <w:pPr/>
      <w:r>
        <w:rPr>
          <w:rFonts w:ascii="Helvetica Light" w:hAnsi="Helvetica Light" w:cs="Helvetica Light"/>
          <w:sz w:val="24"/>
          <w:sz-cs w:val="24"/>
        </w:rPr>
        <w:t xml:space="preserve">* Malaysia</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Rest of ASEAN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ASEAN office real estate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stands at USD 27.03 billion in 2026 and is forecast to reach USD 35.07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holds the largest ASEAN office real estate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Indonesia leads with 47.40% of 2025 revenue thanks to its large domestic economy and Jakarta's dominant CBD.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is growing fastest in the ASEAN office real estate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&amp; ITeS demand is projected to expand at a 6.40% CAGR through 2031 as global tech firms upscale Southeast Asian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hybrid work influencing office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policies concentrate demand in flexible, well-amenitized Grade A towers, driving rent premiums of around 12% for certified buildings.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outlook for office supply in core ASEAN CBDs?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Limited speculative pipelines in Singapore, Bangkok and Jakarta point to continued landlord pricing power over the next four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sustainability features important for office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Green-certified buildings attract higher rents, lower operating costs and enable tenants to meet corporate ESG commitments, enhancing long-term asset value.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