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Australia Toys And Games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Retail &amp; Procurement (Retail)  </w:t>
      </w:r>
    </w:p>
    <w:p>
      <w:pPr/>
      <w:r>
        <w:rPr>
          <w:rFonts w:ascii="Helvetica Light" w:hAnsi="Helvetica Light" w:cs="Helvetica Light"/>
          <w:sz w:val="24"/>
          <w:sz-cs w:val="24"/>
        </w:rPr>
        <w:t xml:space="preserve">&gt; **Source:** [https://www.mordorintelligence.com/industry-reports/australia-toys-and-games-market](https://www.mordorintelligence.com/industry-reports/australia-toys-and-games-market)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1.47 billion |</w:t>
      </w:r>
    </w:p>
    <w:p>
      <w:pPr/>
      <w:r>
        <w:rPr>
          <w:rFonts w:ascii="Helvetica Light" w:hAnsi="Helvetica Light" w:cs="Helvetica Light"/>
          <w:sz w:val="24"/>
          <w:sz-cs w:val="24"/>
        </w:rPr>
        <w:t xml:space="preserve">| **Projected Forecast (2031)** | USD 1.47 billion |</w:t>
      </w:r>
    </w:p>
    <w:p>
      <w:pPr/>
      <w:r>
        <w:rPr>
          <w:rFonts w:ascii="Helvetica Light" w:hAnsi="Helvetica Light" w:cs="Helvetica Light"/>
          <w:sz w:val="24"/>
          <w:sz-cs w:val="24"/>
        </w:rPr>
        <w:t xml:space="preserve">| **Growth Rate (CAGR)** | 3.05 %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Australia Toys And Games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Market Share by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1.43 Billion | </w:t>
      </w:r>
    </w:p>
    <w:p>
      <w:pPr/>
      <w:r>
        <w:rPr>
          <w:rFonts w:ascii="Helvetica Light" w:hAnsi="Helvetica Light" w:cs="Helvetica Light"/>
          <w:sz w:val="24"/>
          <w:sz-cs w:val="24"/>
        </w:rPr>
        <w:t xml:space="preserve">Market Size (2026) | USD 1.47 Billion | </w:t>
      </w:r>
    </w:p>
    <w:p>
      <w:pPr/>
      <w:r>
        <w:rPr>
          <w:rFonts w:ascii="Helvetica Light" w:hAnsi="Helvetica Light" w:cs="Helvetica Light"/>
          <w:sz w:val="24"/>
          <w:sz-cs w:val="24"/>
        </w:rPr>
        <w:t xml:space="preserve">Market Size (2031) | USD 1.71 Billion | </w:t>
      </w:r>
    </w:p>
    <w:p>
      <w:pPr/>
      <w:r>
        <w:rPr>
          <w:rFonts w:ascii="Helvetica Light" w:hAnsi="Helvetica Light" w:cs="Helvetica Light"/>
          <w:sz w:val="24"/>
          <w:sz-cs w:val="24"/>
        </w:rPr>
        <w:t xml:space="preserve">Growth Rate (2026 - 2031) | 3.05 %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Analysis by Mordor IntelligenceThe Australia toys and games market size is expected to grow from USD 1.43 billion in 2025 to USD 1.47 billion in 2026 and is forecast to reach USD 1.71 billion by 2031 at 3.05% CAGR over 2026-2031. Measured household confidence supports discretionary spending on toys even as living-cost pressures remain evident, and educational items together with adult collectibles act as buffers during cyclical downturns. Government STEM funding, early-childhood policy focus, and enhanced e-commerce logistics further amplify demand, while eco-design mandates are reshaping packaging and materials choices. Competitive intensity remains elevated because global leaders adapt portfolios to local licensing opportunities, and online marketplaces extend nationwide reach despite rising compliance scrutiny. Overall, the Australia toys market benefits from a confluence of demographic growth in family households, omnichannel retail maturation, and policy-aligned learning priorities that sustain volume and value advancement.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dolls and plush led with 23.05% of Australia toys market share in 2025, whereas educational and STEM toys are on track for a 5.12% CAGR to 2031.</w:t>
      </w:r>
    </w:p>
    <w:p>
      <w:pPr/>
      <w:r>
        <w:rPr>
          <w:rFonts w:ascii="Helvetica Light" w:hAnsi="Helvetica Light" w:cs="Helvetica Light"/>
          <w:sz w:val="24"/>
          <w:sz-cs w:val="24"/>
        </w:rPr>
        <w:t xml:space="preserve">* By age group, 3-8 years accounted for 36.62% share of the Australia toys market size in 2025, while 8-12 Years is projected to expand at a 5.78% CAGR through 2031.</w:t>
      </w:r>
    </w:p>
    <w:p>
      <w:pPr/>
      <w:r>
        <w:rPr>
          <w:rFonts w:ascii="Helvetica Light" w:hAnsi="Helvetica Light" w:cs="Helvetica Light"/>
          <w:sz w:val="24"/>
          <w:sz-cs w:val="24"/>
        </w:rPr>
        <w:t xml:space="preserve">* By distribution channel, online retail commanded 35.13% of the Australia toys market size in 2025 and is advancing at a 4.72% CAGR to 2031.</w:t>
      </w:r>
    </w:p>
    <w:p>
      <w:pPr/>
      <w:r>
        <w:rPr>
          <w:rFonts w:ascii="Helvetica Light" w:hAnsi="Helvetica Light" w:cs="Helvetica Light"/>
          <w:sz w:val="24"/>
          <w:sz-cs w:val="24"/>
        </w:rPr>
        <w:t xml:space="preserve">* By state, New South Wales held a 29.85% revenue share in 2025; Queensland is forecast to grow at a 5.95% CAGR over the same period.</w:t>
      </w:r>
    </w:p>
    <w:p>
      <w:pPr/>
      <w:r>
        <w:rPr>
          <w:rFonts w:ascii="Helvetica Light" w:hAnsi="Helvetica Light" w:cs="Helvetica Light"/>
          <w:sz w:val="24"/>
          <w:sz-cs w:val="24"/>
        </w:rPr>
        <w:t xml:space="preserve">* The LEGO Group, Mattel Inc., Hasbro Inc., Moose Toys, and Spin Master Corp. collectively held a dominant position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disposable income and gifting culture | +0.8% | National, with higher impact in NSW and Victoria | Medium term (2-4 years) | </w:t>
      </w:r>
    </w:p>
    <w:p>
      <w:pPr/>
      <w:r>
        <w:rPr>
          <w:rFonts w:ascii="Helvetica Light" w:hAnsi="Helvetica Light" w:cs="Helvetica Light"/>
          <w:sz w:val="24"/>
          <w:sz-cs w:val="24"/>
        </w:rPr>
        <w:t xml:space="preserve">Expansion of licensed merchandise franchises | +0.6% | National, with concentration in urban centers | Long term (≥ 4 years) | </w:t>
      </w:r>
    </w:p>
    <w:p>
      <w:pPr/>
      <w:r>
        <w:rPr>
          <w:rFonts w:ascii="Helvetica Light" w:hAnsi="Helvetica Light" w:cs="Helvetica Light"/>
          <w:sz w:val="24"/>
          <w:sz-cs w:val="24"/>
        </w:rPr>
        <w:t xml:space="preserve">Growth in e-commerce and omnichannel retail | +0.7% | National, with rural areas showing highest growth | Short term (≤ 2 years) | </w:t>
      </w:r>
    </w:p>
    <w:p>
      <w:pPr/>
      <w:r>
        <w:rPr>
          <w:rFonts w:ascii="Helvetica Light" w:hAnsi="Helvetica Light" w:cs="Helvetica Light"/>
          <w:sz w:val="24"/>
          <w:sz-cs w:val="24"/>
        </w:rPr>
        <w:t xml:space="preserve">Increasing demand for educational and STEM toys | +0.5% | National, with government program alignment | Medium term (2-4 years) | </w:t>
      </w:r>
    </w:p>
    <w:p>
      <w:pPr/>
      <w:r>
        <w:rPr>
          <w:rFonts w:ascii="Helvetica Light" w:hAnsi="Helvetica Light" w:cs="Helvetica Light"/>
          <w:sz w:val="24"/>
          <w:sz-cs w:val="24"/>
        </w:rPr>
        <w:t xml:space="preserve">Government funding for early-childhood STEM programs | +0.3% | National, with targeted regional implementation | Long term (≥ 4 years) | </w:t>
      </w:r>
    </w:p>
    <w:p>
      <w:pPr/>
      <w:r>
        <w:rPr>
          <w:rFonts w:ascii="Helvetica Light" w:hAnsi="Helvetica Light" w:cs="Helvetica Light"/>
          <w:sz w:val="24"/>
          <w:sz-cs w:val="24"/>
        </w:rPr>
        <w:t xml:space="preserve">Adult collectible and hobby community expansion | +0.4% | Urban centers, particularly Sydney and Melbourne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Five multinational brands, The LEGO Group, Mattel Inc., Hasbro Inc., Moose Toys, and Spin Master Corp., hold a commanding position through deep IP catalogs, advanced compliance systems, and efficient omnichannel distribution. Mattel’s 2025 recovery of DC Comics rights bolsters its local action-figure portfolio, while LEGO sustains cross-generational appeal with architecture and adult collector sets. Spin Master’s 18.8% 2024 revenue surge reflects an innovation pipeline that balances preschool, construction, and digital-hybrid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disruption followed Toys ‘R’ Us Australia’s mid-2025 collapse, releasing almost USD 30 million in sales that competitors quickly absorbed. Rising regulatory costs also shift share toward large incumbents because fines such as the ACCC’s recent USD 49,500 button-battery penalties weigh more heavily on small importers. At the same time, platform retailers face closer oversight, which is likely to concentrate compliant sellers and increase bargaining power for established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rules offer another competitive lever. Early movers redesign packaging to satisfy APCO’s eco-modulation fees taking effect from FY27, positioning themselves for potential cost advantages and stronger consumer trust. Strategic priorities across the leader group include licensing acquisitions, connected-play technology, and direct-to-consumer launches that capitalize on growing adult collector demand while preserving scale efficiencies in core children’s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Toys And Games Industry Leaders* The LEGO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Mattel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Hasbro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Moose Toys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Spin Master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toys and games sold in Australia, counted as the value of products purchased by consumers through online and offline channels across the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second-hand resale between consumers and non-toy categories that are sometimes bundled into recreational goods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Action Figures and Figurines</w:t>
      </w:r>
    </w:p>
    <w:p>
      <w:pPr/>
      <w:r>
        <w:rPr>
          <w:rFonts w:ascii="Helvetica Light" w:hAnsi="Helvetica Light" w:cs="Helvetica Light"/>
          <w:sz w:val="24"/>
          <w:sz-cs w:val="24"/>
        </w:rPr>
        <w:t xml:space="preserve">* Dolls and Plush</w:t>
      </w:r>
    </w:p>
    <w:p>
      <w:pPr/>
      <w:r>
        <w:rPr>
          <w:rFonts w:ascii="Helvetica Light" w:hAnsi="Helvetica Light" w:cs="Helvetica Light"/>
          <w:sz w:val="24"/>
          <w:sz-cs w:val="24"/>
        </w:rPr>
        <w:t xml:space="preserve">* Construction and Building Sets</w:t>
      </w:r>
    </w:p>
    <w:p>
      <w:pPr/>
      <w:r>
        <w:rPr>
          <w:rFonts w:ascii="Helvetica Light" w:hAnsi="Helvetica Light" w:cs="Helvetica Light"/>
          <w:sz w:val="24"/>
          <w:sz-cs w:val="24"/>
        </w:rPr>
        <w:t xml:space="preserve">* Games and Puzzles</w:t>
      </w:r>
    </w:p>
    <w:p>
      <w:pPr/>
      <w:r>
        <w:rPr>
          <w:rFonts w:ascii="Helvetica Light" w:hAnsi="Helvetica Light" w:cs="Helvetica Light"/>
          <w:sz w:val="24"/>
          <w:sz-cs w:val="24"/>
        </w:rPr>
        <w:t xml:space="preserve">* Outdoor and Sports Toys</w:t>
      </w:r>
    </w:p>
    <w:p>
      <w:pPr/>
      <w:r>
        <w:rPr>
          <w:rFonts w:ascii="Helvetica Light" w:hAnsi="Helvetica Light" w:cs="Helvetica Light"/>
          <w:sz w:val="24"/>
          <w:sz-cs w:val="24"/>
        </w:rPr>
        <w:t xml:space="preserve">* Vehicles and Remote Control</w:t>
      </w:r>
    </w:p>
    <w:p>
      <w:pPr/>
      <w:r>
        <w:rPr>
          <w:rFonts w:ascii="Helvetica Light" w:hAnsi="Helvetica Light" w:cs="Helvetica Light"/>
          <w:sz w:val="24"/>
          <w:sz-cs w:val="24"/>
        </w:rPr>
        <w:t xml:space="preserve">* Educational and STEM Toys</w:t>
      </w:r>
    </w:p>
    <w:p>
      <w:pPr/>
      <w:r>
        <w:rPr>
          <w:rFonts w:ascii="Helvetica Light" w:hAnsi="Helvetica Light" w:cs="Helvetica Light"/>
          <w:sz w:val="24"/>
          <w:sz-cs w:val="24"/>
        </w:rPr>
        <w:t xml:space="preserve">* Video-Game Hardware and Software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0-3 Years</w:t>
      </w:r>
    </w:p>
    <w:p>
      <w:pPr/>
      <w:r>
        <w:rPr>
          <w:rFonts w:ascii="Helvetica Light" w:hAnsi="Helvetica Light" w:cs="Helvetica Light"/>
          <w:sz w:val="24"/>
          <w:sz-cs w:val="24"/>
        </w:rPr>
        <w:t xml:space="preserve">* 3-8 Years</w:t>
      </w:r>
    </w:p>
    <w:p>
      <w:pPr/>
      <w:r>
        <w:rPr>
          <w:rFonts w:ascii="Helvetica Light" w:hAnsi="Helvetica Light" w:cs="Helvetica Light"/>
          <w:sz w:val="24"/>
          <w:sz-cs w:val="24"/>
        </w:rPr>
        <w:t xml:space="preserve">* 8-12 Years</w:t>
      </w:r>
    </w:p>
    <w:p>
      <w:pPr/>
      <w:r>
        <w:rPr>
          <w:rFonts w:ascii="Helvetica Light" w:hAnsi="Helvetica Light" w:cs="Helvetica Light"/>
          <w:sz w:val="24"/>
          <w:sz-cs w:val="24"/>
        </w:rPr>
        <w:t xml:space="preserve">* 12-18 Years</w:t>
      </w:r>
    </w:p>
    <w:p>
      <w:pPr/>
      <w:r>
        <w:rPr>
          <w:rFonts w:ascii="Helvetica Light" w:hAnsi="Helvetica Light" w:cs="Helvetica Light"/>
          <w:sz w:val="24"/>
          <w:sz-cs w:val="24"/>
        </w:rPr>
        <w:t xml:space="preserve">* Adults and Hobby Collectors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Specialty Toy Stores</w:t>
      </w:r>
    </w:p>
    <w:p>
      <w:pPr/>
      <w:r>
        <w:rPr>
          <w:rFonts w:ascii="Helvetica Light" w:hAnsi="Helvetica Light" w:cs="Helvetica Light"/>
          <w:sz w:val="24"/>
          <w:sz-cs w:val="24"/>
        </w:rPr>
        <w:t xml:space="preserve">* Online Retail</w:t>
      </w:r>
    </w:p>
    <w:p>
      <w:pPr/>
      <w:r>
        <w:rPr>
          <w:rFonts w:ascii="Helvetica Light" w:hAnsi="Helvetica Light" w:cs="Helvetica Light"/>
          <w:sz w:val="24"/>
          <w:sz-cs w:val="24"/>
        </w:rPr>
        <w:t xml:space="preserve">* Department and Discount Stores</w:t>
      </w:r>
    </w:p>
    <w:p>
      <w:pPr/>
      <w:r>
        <w:rPr>
          <w:rFonts w:ascii="Helvetica Light" w:hAnsi="Helvetica Light" w:cs="Helvetica Light"/>
          <w:sz w:val="24"/>
          <w:sz-cs w:val="24"/>
        </w:rPr>
        <w:t xml:space="preserve">* Supermarkets and Hypermarkets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New South Wales</w:t>
      </w:r>
    </w:p>
    <w:p>
      <w:pPr/>
      <w:r>
        <w:rPr>
          <w:rFonts w:ascii="Helvetica Light" w:hAnsi="Helvetica Light" w:cs="Helvetica Light"/>
          <w:sz w:val="24"/>
          <w:sz-cs w:val="24"/>
        </w:rPr>
        <w:t xml:space="preserve">* Victoria</w:t>
      </w:r>
    </w:p>
    <w:p>
      <w:pPr/>
      <w:r>
        <w:rPr>
          <w:rFonts w:ascii="Helvetica Light" w:hAnsi="Helvetica Light" w:cs="Helvetica Light"/>
          <w:sz w:val="24"/>
          <w:sz-cs w:val="24"/>
        </w:rPr>
        <w:t xml:space="preserve">* Queensland</w:t>
      </w:r>
    </w:p>
    <w:p>
      <w:pPr/>
      <w:r>
        <w:rPr>
          <w:rFonts w:ascii="Helvetica Light" w:hAnsi="Helvetica Light" w:cs="Helvetica Light"/>
          <w:sz w:val="24"/>
          <w:sz-cs w:val="24"/>
        </w:rPr>
        <w:t xml:space="preserve">* Western Australia</w:t>
      </w:r>
    </w:p>
    <w:p>
      <w:pPr/>
      <w:r>
        <w:rPr>
          <w:rFonts w:ascii="Helvetica Light" w:hAnsi="Helvetica Light" w:cs="Helvetica Light"/>
          <w:sz w:val="24"/>
          <w:sz-cs w:val="24"/>
        </w:rPr>
        <w:t xml:space="preserve">* South Australia</w:t>
      </w:r>
    </w:p>
    <w:p>
      <w:pPr/>
      <w:r>
        <w:rPr>
          <w:rFonts w:ascii="Helvetica Light" w:hAnsi="Helvetica Light" w:cs="Helvetica Light"/>
          <w:sz w:val="24"/>
          <w:sz-cs w:val="24"/>
        </w:rPr>
        <w:t xml:space="preserve">* Tasmania</w:t>
      </w:r>
    </w:p>
    <w:p>
      <w:pPr/>
      <w:r>
        <w:rPr>
          <w:rFonts w:ascii="Helvetica Light" w:hAnsi="Helvetica Light" w:cs="Helvetica Light"/>
          <w:sz w:val="24"/>
          <w:sz-cs w:val="24"/>
        </w:rPr>
        <w:t xml:space="preserve">* Australian Capital Territory</w:t>
      </w:r>
    </w:p>
    <w:p>
      <w:pPr/>
      <w:r>
        <w:rPr>
          <w:rFonts w:ascii="Helvetica Light" w:hAnsi="Helvetica Light" w:cs="Helvetica Light"/>
          <w:sz w:val="24"/>
          <w:sz-cs w:val="24"/>
        </w:rPr>
        <w:t xml:space="preserve">* Northern Territory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Australia toys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Australia toys market size stands at USD 1.47 billion in 2026 and is expected to climb to USD 1.71 billion by 2031 at a 3.05%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and STEM Toys are expanding at a 5.12% CAGR to 2031, driven by STEM policy support and parental demand for developmental play.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is e-commerce to toy sales in Australia?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already represents 35.13% of the category revenue in 2025 and is forecast to grow at 4.72% CAGR, making it the pivotal channel for future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state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Queensland is projected to deliver a 5.95% CAGR by 2031 as lifestyle-driven migration fuels household formation and toy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safety regulations affecting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Stringent ACCC enforcement and new infant-toy standards increase compliance costs, favoring large players with established testing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opportunities exist in the adult collector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Collectors contribute an expanding premium segment, and limited-edition releases targeting over-18 buyers offer high margins with relatively low volume risk.</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