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Battery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[https://www.mordorintelligence.com/industry-reports/automotive-battery-market](https://www.mordorintelligence.com/industry-reports/automotive-battery-market)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349.23 billion |</w:t>
      </w:r>
    </w:p>
    <w:p>
      <w:pPr/>
      <w:r>
        <w:rPr>
          <w:rFonts w:ascii="Helvetica Light" w:hAnsi="Helvetica Light" w:cs="Helvetica Light"/>
          <w:sz w:val="24"/>
          <w:sz-cs w:val="24"/>
        </w:rPr>
        <w:t xml:space="preserve">| **Projected Forecast (2031)** | USD 349.23 billion |</w:t>
      </w:r>
    </w:p>
    <w:p>
      <w:pPr/>
      <w:r>
        <w:rPr>
          <w:rFonts w:ascii="Helvetica Light" w:hAnsi="Helvetica Light" w:cs="Helvetica Light"/>
          <w:sz w:val="24"/>
          <w:sz-cs w:val="24"/>
        </w:rPr>
        <w:t xml:space="preserve">| **Growth Rate (CAGR)** | 17.84 %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Battery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Battery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Battery Market Share by Battery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Battery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Battery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Battery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153.67 Billion | </w:t>
      </w:r>
    </w:p>
    <w:p>
      <w:pPr/>
      <w:r>
        <w:rPr>
          <w:rFonts w:ascii="Helvetica Light" w:hAnsi="Helvetica Light" w:cs="Helvetica Light"/>
          <w:sz w:val="24"/>
          <w:sz-cs w:val="24"/>
        </w:rPr>
        <w:t xml:space="preserve">Market Size (2031) | USD 349.23 Billion | </w:t>
      </w:r>
    </w:p>
    <w:p>
      <w:pPr/>
      <w:r>
        <w:rPr>
          <w:rFonts w:ascii="Helvetica Light" w:hAnsi="Helvetica Light" w:cs="Helvetica Light"/>
          <w:sz w:val="24"/>
          <w:sz-cs w:val="24"/>
        </w:rPr>
        <w:t xml:space="preserve">Growth Rate (2026 - 2031) | 17.84 %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Battery Market Analysis by Mordor IntelligenceThe automotive battery market size was valued at USD 130.42 billion in 2025 and is estimated at USD 153.67 billion in 2026, and is forecast to reach USD 349.23 billion by 2031 at a 17.84% CAGR over 2026-2031. This expansion reflects a sharper shift toward vehicle electrification, as electric cars represented 25% of global vehicle sales in 2025 and global EV sales moved above 20 million units, which broadened battery demand beyond early adopter markets and into the mainstream vehicle base [1]“Global EV Outlook 2025,” IEA, iea.org. The volume effect is rising faster in energy terms than in vehicle counts because battery-electric commercial vehicles use much larger packs than passenger cars, which raises cell demand, pack demand, and replacement planning across the automotive battery market. Policy support is also shaping investment timing, with the US advanced manufacturing production credit and the EU batteries framework pushing new capacity, recycling readiness, and supply chain traceability deeper into procurement decisions. Asia-Pacific remains the operating center because China combines very large domestic EV uptake with scale manufacturing, while South America is opening a new growth lane through tariff-led localization and local assembly plans that are starting to spread battery demand into new production hubs. Competition is concentrated at the top end, and mineral supply concentration plus recurring battery safety recalls continue to influence sourcing, localization, chemistry choices, and warranty planning across the automotive battery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battery type, Lead-Acid held 48.72% of the automotive battery market share in 2025, while Others is forecast to expand at 18.06% CAGR through 2031.</w:t>
      </w:r>
    </w:p>
    <w:p>
      <w:pPr/>
      <w:r>
        <w:rPr>
          <w:rFonts w:ascii="Helvetica Light" w:hAnsi="Helvetica Light" w:cs="Helvetica Light"/>
          <w:sz w:val="24"/>
          <w:sz-cs w:val="24"/>
        </w:rPr>
        <w:t xml:space="preserve">* By vehicle type, Passenger Cars held 70.05% revenue share in 2025, while Commercial Vehicles are projected to grow at 18.61% CAGR through 2031.</w:t>
      </w:r>
    </w:p>
    <w:p>
      <w:pPr/>
      <w:r>
        <w:rPr>
          <w:rFonts w:ascii="Helvetica Light" w:hAnsi="Helvetica Light" w:cs="Helvetica Light"/>
          <w:sz w:val="24"/>
          <w:sz-cs w:val="24"/>
        </w:rPr>
        <w:t xml:space="preserve">* By drive type, ICE (SLI &amp; Start-Stop) accounted for 82.55% of revenue in 2025, while BEV is set to record the highest CAGR at 19.18% through 2031.</w:t>
      </w:r>
    </w:p>
    <w:p>
      <w:pPr/>
      <w:r>
        <w:rPr>
          <w:rFonts w:ascii="Helvetica Light" w:hAnsi="Helvetica Light" w:cs="Helvetica Light"/>
          <w:sz w:val="24"/>
          <w:sz-cs w:val="24"/>
        </w:rPr>
        <w:t xml:space="preserve">* By application, Starting-Lighting-Ignition accounted for a 72.32% share of the automotive battery market size in 2025, while Propulsion is forecast to grow at 18.22% CAGR through 2031.</w:t>
      </w:r>
    </w:p>
    <w:p>
      <w:pPr/>
      <w:r>
        <w:rPr>
          <w:rFonts w:ascii="Helvetica Light" w:hAnsi="Helvetica Light" w:cs="Helvetica Light"/>
          <w:sz w:val="24"/>
          <w:sz-cs w:val="24"/>
        </w:rPr>
        <w:t xml:space="preserve">* By sales channel, OEM held 61.74% of revenue in 2025, while Aftermarket is projected to advance at 17.95% CAGR through 2031.</w:t>
      </w:r>
    </w:p>
    <w:p>
      <w:pPr/>
      <w:r>
        <w:rPr>
          <w:rFonts w:ascii="Helvetica Light" w:hAnsi="Helvetica Light" w:cs="Helvetica Light"/>
          <w:sz w:val="24"/>
          <w:sz-cs w:val="24"/>
        </w:rPr>
        <w:t xml:space="preserve">* By geography, Asia-Pacific accounted for 42.68% share of the automotive battery market size in 2025, while South America is forecast to expand at 18.01%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Automotive Battery Market*Driver | (~) % Impact on CAGR Forecast | Geographic Relevance | Impact Timeline | </w:t>
      </w:r>
    </w:p>
    <w:p>
      <w:pPr/>
      <w:r>
        <w:rPr>
          <w:rFonts w:ascii="Helvetica Light" w:hAnsi="Helvetica Light" w:cs="Helvetica Light"/>
          <w:sz w:val="24"/>
          <w:sz-cs w:val="24"/>
        </w:rPr>
        <w:t xml:space="preserve">Surging EV Production and Sales | +5.8% | Global, strongest in China, Europe, and emerging Asia-Pacific markets | Medium term (2-4 years) | </w:t>
      </w:r>
    </w:p>
    <w:p>
      <w:pPr/>
      <w:r>
        <w:rPr>
          <w:rFonts w:ascii="Helvetica Light" w:hAnsi="Helvetica Light" w:cs="Helvetica Light"/>
          <w:sz w:val="24"/>
          <w:sz-cs w:val="24"/>
        </w:rPr>
        <w:t xml:space="preserve">Government Incentives and Emission Norms | +3.2% | North America, Europe, and major Asia-Pacific EV markets | Medium term (2-4 years) | </w:t>
      </w:r>
    </w:p>
    <w:p>
      <w:pPr/>
      <w:r>
        <w:rPr>
          <w:rFonts w:ascii="Helvetica Light" w:hAnsi="Helvetica Light" w:cs="Helvetica Light"/>
          <w:sz w:val="24"/>
          <w:sz-cs w:val="24"/>
        </w:rPr>
        <w:t xml:space="preserve">Decline in Li-Ion Price | +2.6% | Global, strongest in China with spillover into Europe and North America | Medium term (2-4 years) | </w:t>
      </w:r>
    </w:p>
    <w:p>
      <w:pPr/>
      <w:r>
        <w:rPr>
          <w:rFonts w:ascii="Helvetica Light" w:hAnsi="Helvetica Light" w:cs="Helvetica Light"/>
          <w:sz w:val="24"/>
          <w:sz-cs w:val="24"/>
        </w:rPr>
        <w:t xml:space="preserve">Vehicle-To-Grid Pilots | +1.4% | Europe, China, Australia, and North America | Long term (≥ 4 years) | </w:t>
      </w:r>
    </w:p>
    <w:p>
      <w:pPr/>
      <w:r>
        <w:rPr>
          <w:rFonts w:ascii="Helvetica Light" w:hAnsi="Helvetica Light" w:cs="Helvetica Light"/>
          <w:sz w:val="24"/>
          <w:sz-cs w:val="24"/>
        </w:rPr>
        <w:t xml:space="preserve">IRA and EU Battery Subsidies | +1.2% | North America and Europe | Medium term (2-4 years) | </w:t>
      </w:r>
    </w:p>
    <w:p>
      <w:pPr/>
      <w:r>
        <w:rPr>
          <w:rFonts w:ascii="Helvetica Light" w:hAnsi="Helvetica Light" w:cs="Helvetica Light"/>
          <w:sz w:val="24"/>
          <w:sz-cs w:val="24"/>
        </w:rPr>
        <w:t xml:space="preserve">12V Start-Stop Replacements | +0.8% | Global, especially Europe and North America aftermarket channels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battery market is concentrated at the top and much more fragmented below that top tier, which creates a structure where a few companies shape pricing, technology direction, and capacity timing for the rest of the field. In 2025, CATL dominated the global EV battery installations, while BYD followed closely. Together, these two giants commanded a significant share of the market, positioning them far ahead of their competitors. That leads matters because scale in batteries affects not only cost, but also purchasing leverage, plant utilization, chemistry flexibility, and the ability to support multiple automakers across several geographies at once. Western and Korean manufacturers still matter in selected programs, premium applications, and regional partnerships, but they are operating from a weaker position in the mass-market battery race. The automotive battery market, therefore, looks less like a broad field of equal competitors and more like a top-heavy structure where the leading Chinese firms set the commercial tone.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Northvolt’s bankruptcy in March 2025 also changed how competitors and OEMs view Western battery expansion because it showed how difficult it is to sustain gigafactory economics without steady demand, policy support, and cost-competitive technology. That episode strengthened the case for phased localization, joint ventures, and imported cells with local pack assembly rather than fully independent regional battery ecosystems from day one. Regulation adds another layer to competition because the EU battery passport and due diligence framework will favor producers that can prove supply chain visibility and end-of-life management before the requirements become fully binding. Strategic moves from leading companies also show how competition is broadening beyond cell supply alone. CATL is building out its Chocolate battery-swap network. CATL has also moved sodium-ion closer to production through Naxtra, and BYD introduced a fast-charging battery platform in 2026 that pointed to shorter charging times as a direct competitive lever.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These moves matter because they shift competition from pure manufacturing scale toward ecosystem control, service models, charging experience, and chemistry optionality. The strongest companies are trying to bind customers through infrastructure, product architecture, and long-term software and service relationships rather than through hardware pricing alone. This creates white-space opportunities in second-life battery channels, V2G software, recycling coordination, and specialized fleet support, where the largest cell makers do not automatically dominate every layer. Even so, the automotive battery market remains difficult for mid-tier firms because the leaders already combine manufacturing scale, technology breadth, and customer reach in ways that are hard to match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Battery Industry Leaders* Contemporary Amperex Technology Co., Limited (CATL)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LG Energy Solution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Panasonic Energy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BYD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Samsung SDI Co., Ltd.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automotive battery market covers batteries installed in on-road vehicles for starting, auxiliary power, and electric propulsion, counted in value terms at the point of sale across OEM and aftermarket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batteries used in non-automotive uses (such as stationary energy storage and consumer electronics) even when the same chemistries are used.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Battery Type* Lead-Acid</w:t>
      </w:r>
    </w:p>
    <w:p>
      <w:pPr/>
      <w:r>
        <w:rPr>
          <w:rFonts w:ascii="Helvetica Light" w:hAnsi="Helvetica Light" w:cs="Helvetica Light"/>
          <w:sz w:val="24"/>
          <w:sz-cs w:val="24"/>
        </w:rPr>
        <w:t xml:space="preserve">* Lithium-ion</w:t>
      </w:r>
    </w:p>
    <w:p>
      <w:pPr/>
      <w:r>
        <w:rPr>
          <w:rFonts w:ascii="Helvetica Light" w:hAnsi="Helvetica Light" w:cs="Helvetica Light"/>
          <w:sz w:val="24"/>
          <w:sz-cs w:val="24"/>
        </w:rPr>
        <w:t xml:space="preserve">* Nickel-Metal Hydride</w:t>
      </w:r>
    </w:p>
    <w:p>
      <w:pPr/>
      <w:r>
        <w:rPr>
          <w:rFonts w:ascii="Helvetica Light" w:hAnsi="Helvetica Light" w:cs="Helvetica Light"/>
          <w:sz w:val="24"/>
          <w:sz-cs w:val="24"/>
        </w:rPr>
        <w:t xml:space="preserve">* Others (Li-S, Na-ion, Zinc-air)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 Hatchback</w:t>
      </w:r>
    </w:p>
    <w:p>
      <w:pPr/>
      <w:r>
        <w:rPr>
          <w:rFonts w:ascii="Helvetica Light" w:hAnsi="Helvetica Light" w:cs="Helvetica Light"/>
          <w:sz w:val="24"/>
          <w:sz-cs w:val="24"/>
        </w:rPr>
        <w:t xml:space="preserve">* Sedan</w:t>
      </w:r>
    </w:p>
    <w:p>
      <w:pPr/>
      <w:r>
        <w:rPr>
          <w:rFonts w:ascii="Helvetica Light" w:hAnsi="Helvetica Light" w:cs="Helvetica Light"/>
          <w:sz w:val="24"/>
          <w:sz-cs w:val="24"/>
        </w:rPr>
        <w:t xml:space="preserve">* Multi-Purpose Vehicle and Sport-Utility Vehicle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Commercial Vehicles* Light Commercial Vehicles</w:t>
      </w:r>
    </w:p>
    <w:p>
      <w:pPr/>
      <w:r>
        <w:rPr>
          <w:rFonts w:ascii="Helvetica Light" w:hAnsi="Helvetica Light" w:cs="Helvetica Light"/>
          <w:sz w:val="24"/>
          <w:sz-cs w:val="24"/>
        </w:rPr>
        <w:t xml:space="preserve">* Medium and Heavy Trucks</w:t>
      </w:r>
    </w:p>
    <w:p>
      <w:pPr/>
      <w:r>
        <w:rPr>
          <w:rFonts w:ascii="Helvetica Light" w:hAnsi="Helvetica Light" w:cs="Helvetica Light"/>
          <w:sz w:val="24"/>
          <w:sz-cs w:val="24"/>
        </w:rPr>
        <w:t xml:space="preserve">* Bus and Coach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Two-Wheelers</w:t>
      </w:r>
    </w:p>
    <w:p>
      <w:pPr/>
      <w:r>
        <w:rPr>
          <w:rFonts w:ascii="Helvetica Light" w:hAnsi="Helvetica Light" w:cs="Helvetica Light"/>
          <w:sz w:val="24"/>
          <w:sz-cs w:val="24"/>
        </w:rPr>
        <w:t xml:space="preserve">* Off-Highway* Construction Equipment</w:t>
      </w:r>
    </w:p>
    <w:p>
      <w:pPr/>
      <w:r>
        <w:rPr>
          <w:rFonts w:ascii="Helvetica Light" w:hAnsi="Helvetica Light" w:cs="Helvetica Light"/>
          <w:sz w:val="24"/>
          <w:sz-cs w:val="24"/>
        </w:rPr>
        <w:t xml:space="preserve">* Agricultural Machinery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Drive Type* Internal Combustion Engine (SLI and Start-Stop)</w:t>
      </w:r>
    </w:p>
    <w:p>
      <w:pPr/>
      <w:r>
        <w:rPr>
          <w:rFonts w:ascii="Helvetica Light" w:hAnsi="Helvetica Light" w:cs="Helvetica Light"/>
          <w:sz w:val="24"/>
          <w:sz-cs w:val="24"/>
        </w:rPr>
        <w:t xml:space="preserve">* Hybrid (HEV and PHEV)</w:t>
      </w:r>
    </w:p>
    <w:p>
      <w:pPr/>
      <w:r>
        <w:rPr>
          <w:rFonts w:ascii="Helvetica Light" w:hAnsi="Helvetica Light" w:cs="Helvetica Light"/>
          <w:sz w:val="24"/>
          <w:sz-cs w:val="24"/>
        </w:rPr>
        <w:t xml:space="preserve">* Battery Electric Vehicle (BEV)</w:t>
      </w:r>
    </w:p>
    <w:p>
      <w:pPr/>
      <w:r>
        <w:rPr>
          <w:rFonts w:ascii="Helvetica Light" w:hAnsi="Helvetica Light" w:cs="Helvetica Light"/>
          <w:sz w:val="24"/>
          <w:sz-cs w:val="24"/>
        </w:rPr>
        <w:t xml:space="preserve">* Fuel-Cell Electric Vehicle (FCEV)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Starting-Lighting-Ignition (SLI)</w:t>
      </w:r>
    </w:p>
    <w:p>
      <w:pPr/>
      <w:r>
        <w:rPr>
          <w:rFonts w:ascii="Helvetica Light" w:hAnsi="Helvetica Light" w:cs="Helvetica Light"/>
          <w:sz w:val="24"/>
          <w:sz-cs w:val="24"/>
        </w:rPr>
        <w:t xml:space="preserve">* Propulsion</w:t>
      </w:r>
    </w:p>
    <w:p>
      <w:pPr/>
      <w:r>
        <w:rPr>
          <w:rFonts w:ascii="Helvetica Light" w:hAnsi="Helvetica Light" w:cs="Helvetica Light"/>
          <w:sz w:val="24"/>
          <w:sz-cs w:val="24"/>
        </w:rPr>
        <w:t xml:space="preserve">* Start-Stop</w:t>
      </w:r>
    </w:p>
    <w:p>
      <w:pPr/>
      <w:r>
        <w:rPr>
          <w:rFonts w:ascii="Helvetica Light" w:hAnsi="Helvetica Light" w:cs="Helvetica Light"/>
          <w:sz w:val="24"/>
          <w:sz-cs w:val="24"/>
        </w:rPr>
        <w:t xml:space="preserve">* Auxiliary/12 V Systems</w:t>
      </w:r>
    </w:p>
    <w:p>
      <w:pPr/>
      <w:r>
        <w:rPr>
          <w:rFonts w:ascii="Helvetica Light" w:hAnsi="Helvetica Light" w:cs="Helvetica Light"/>
          <w:sz w:val="24"/>
          <w:sz-cs w:val="24"/>
        </w:rPr>
        <w:t xml:space="preserve">* Battery-as-a-Service / Swap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w:t>
      </w:r>
    </w:p>
    <w:p>
      <w:pPr/>
      <w:r>
        <w:rPr>
          <w:rFonts w:ascii="Helvetica Light" w:hAnsi="Helvetica Light" w:cs="Helvetica Light"/>
          <w:sz w:val="24"/>
          <w:sz-cs w:val="24"/>
        </w:rPr>
        <w:t xml:space="preser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automotive batteries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led by EV adoption, larger battery requirements in commercial vehicles, policy support for local manufacturing, and a wider role for batteries in second-life and grid-linked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this space become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battery market is forecast to reach USD 349.23 billion by 2031 from USD 153.67 billion in 2026, at a 17.84%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battery type still leads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Lead-Acid remained the largest battery type in 2025 with 48.72% share because the installed ICE fleet still creates a very large and steady replacement cycle.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segment is creating the strongest incremental battery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is projected to grow fastest at 18.61% CAGR, and its impact is amplified because one electric heavy truck can require battery capacity equal to 3 to 4 passenger cars.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