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Motors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[https://www.mordorintelligence.com/industry-reports/automotive-motors-market](https://www.mordorintelligence.com/industry-reports/automotive-motors-market)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50.01 billion |</w:t>
      </w:r>
    </w:p>
    <w:p>
      <w:pPr/>
      <w:r>
        <w:rPr>
          <w:rFonts w:ascii="Helvetica Light" w:hAnsi="Helvetica Light" w:cs="Helvetica Light"/>
          <w:sz w:val="24"/>
          <w:sz-cs w:val="24"/>
        </w:rPr>
        <w:t xml:space="preserve">| **Projected Forecast (2031)** | USD 50.01 billion |</w:t>
      </w:r>
    </w:p>
    <w:p>
      <w:pPr/>
      <w:r>
        <w:rPr>
          <w:rFonts w:ascii="Helvetica Light" w:hAnsi="Helvetica Light" w:cs="Helvetica Light"/>
          <w:sz w:val="24"/>
          <w:sz-cs w:val="24"/>
        </w:rPr>
        <w:t xml:space="preserve">| **Growth Rate (CAGR)** | 4.75 %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Motors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Share by Motor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39.64 Billion | </w:t>
      </w:r>
    </w:p>
    <w:p>
      <w:pPr/>
      <w:r>
        <w:rPr>
          <w:rFonts w:ascii="Helvetica Light" w:hAnsi="Helvetica Light" w:cs="Helvetica Light"/>
          <w:sz w:val="24"/>
          <w:sz-cs w:val="24"/>
        </w:rPr>
        <w:t xml:space="preserve">Market Size (2031) | USD 50.01 Billion | </w:t>
      </w:r>
    </w:p>
    <w:p>
      <w:pPr/>
      <w:r>
        <w:rPr>
          <w:rFonts w:ascii="Helvetica Light" w:hAnsi="Helvetica Light" w:cs="Helvetica Light"/>
          <w:sz w:val="24"/>
          <w:sz-cs w:val="24"/>
        </w:rPr>
        <w:t xml:space="preserve">Growth Rate (2026 - 2031) | 4.75 %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Market Analysis by Mordor IntelligenceThe Automotive Motors Market size was valued at USD 37.85 billion in 2025 and is estimated to grow from USD 39.64 billion in 2026 to reach USD 50.01 billion by 2031, at a CAGR of 4.75% during the forecast period (2026-2031). The growing use of electrified auxiliaries, high-power e-axles, and software-defined vehicle platforms is increasing the average motor count per car, while efficiency regulations are pushing brushed designs toward brushless and permanent-magnet topologies. Original equipment manufacturers (OEMs) are localizing motor assembly to comply with regional trade rules, thereby shortening supply chains and sharpening cost competition. Safety regulations mandating automatic emergency braking (AEB) and lane-keeping assist are amplifying demand for stepper motors, even as zone controller architectures seek to consolidate actuator functions. Finally, the proliferation of premium battery-electric vehicles (BEVs) is elevating demand for low-noise brushless direct-current (BLDC) motors, creating new opportunities for suppliers that can balance acoustics, thermal performance, and price.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motor type, BLDC designs led with 43.36% of the automotive motor market share in 2025, while traction motors are projected to advance at a 4.77% CAGR through 2031. </w:t>
      </w:r>
    </w:p>
    <w:p>
      <w:pPr/>
      <w:r>
        <w:rPr>
          <w:rFonts w:ascii="Helvetica Light" w:hAnsi="Helvetica Light" w:cs="Helvetica Light"/>
          <w:sz w:val="24"/>
          <w:sz-cs w:val="24"/>
        </w:rPr>
        <w:t xml:space="preserve">* By application, powertrain accounted for a 47.21% share of the automotive motors market in 2025, and safety systems are growing at a 4.79% CAGR through 2031. </w:t>
      </w:r>
    </w:p>
    <w:p>
      <w:pPr/>
      <w:r>
        <w:rPr>
          <w:rFonts w:ascii="Helvetica Light" w:hAnsi="Helvetica Light" w:cs="Helvetica Light"/>
          <w:sz w:val="24"/>
          <w:sz-cs w:val="24"/>
        </w:rPr>
        <w:t xml:space="preserve">* By vehicle type, passenger cars accounted for 58.38% of 2025 volume and are projected to expand at a 4.85% CAGR through 2031. </w:t>
      </w:r>
    </w:p>
    <w:p>
      <w:pPr/>
      <w:r>
        <w:rPr>
          <w:rFonts w:ascii="Helvetica Light" w:hAnsi="Helvetica Light" w:cs="Helvetica Light"/>
          <w:sz w:val="24"/>
          <w:sz-cs w:val="24"/>
        </w:rPr>
        <w:t xml:space="preserve">* By sales channel, OEM distribution accounted for 83.37% in 2025, while the aftermarket is set to grow at a 4.81% CAGR over the forecast period. </w:t>
      </w:r>
    </w:p>
    <w:p>
      <w:pPr/>
      <w:r>
        <w:rPr>
          <w:rFonts w:ascii="Helvetica Light" w:hAnsi="Helvetica Light" w:cs="Helvetica Light"/>
          <w:sz w:val="24"/>
          <w:sz-cs w:val="24"/>
        </w:rPr>
        <w:t xml:space="preserve">* By geography, Asia-Pacific accounted for 44.57% of revenue in 2025 and is expected to post a 4.87%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Motors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Electrification of Auxiliary Systems | +1.2% | Global, with early concentration in Europe and China | Medium term (2-4 years) | </w:t>
      </w:r>
    </w:p>
    <w:p>
      <w:pPr/>
      <w:r>
        <w:rPr>
          <w:rFonts w:ascii="Helvetica Light" w:hAnsi="Helvetica Light" w:cs="Helvetica Light"/>
          <w:sz w:val="24"/>
          <w:sz-cs w:val="24"/>
        </w:rPr>
        <w:t xml:space="preserve">Rapid Adoption of ADAS-Grade Safety Actuators | +1.0% | North America, Europe, China (regulatory-driven); spillover to ASEAN, Latin America | Short term (≤ 2 years) | </w:t>
      </w:r>
    </w:p>
    <w:p>
      <w:pPr/>
      <w:r>
        <w:rPr>
          <w:rFonts w:ascii="Helvetica Light" w:hAnsi="Helvetica Light" w:cs="Helvetica Light"/>
          <w:sz w:val="24"/>
          <w:sz-cs w:val="24"/>
        </w:rPr>
        <w:t xml:space="preserve">Rising OEM Focus on 48-V Mild-Hybrid Architectures | +0.9% | Global, led by Europe and Japan; accelerating in India for compact sedans | Medium term (2-4 years) | </w:t>
      </w:r>
    </w:p>
    <w:p>
      <w:pPr/>
      <w:r>
        <w:rPr>
          <w:rFonts w:ascii="Helvetica Light" w:hAnsi="Helvetica Light" w:cs="Helvetica Light"/>
          <w:sz w:val="24"/>
          <w:sz-cs w:val="24"/>
        </w:rPr>
        <w:t xml:space="preserve">Regulatory Push for Energy-Efficient HVAC Blowers | +0.6% | North America (EPA CAFE), Europe (CO₂ fleet standards), China (NEV credits) | Long term (≥ 4 years) | </w:t>
      </w:r>
    </w:p>
    <w:p>
      <w:pPr/>
      <w:r>
        <w:rPr>
          <w:rFonts w:ascii="Helvetica Light" w:hAnsi="Helvetica Light" w:cs="Helvetica Light"/>
          <w:sz w:val="24"/>
          <w:sz-cs w:val="24"/>
        </w:rPr>
        <w:t xml:space="preserve">Growth of In-Cabin Comfort and Wellness Features | +0.5% | Premium segments in North America, Europe, China; expanding to mass-market in Asia-Pacific | Medium term (2-4 years) | </w:t>
      </w:r>
    </w:p>
    <w:p>
      <w:pPr/>
      <w:r>
        <w:rPr>
          <w:rFonts w:ascii="Helvetica Light" w:hAnsi="Helvetica Light" w:cs="Helvetica Light"/>
          <w:sz w:val="24"/>
          <w:sz-cs w:val="24"/>
        </w:rPr>
        <w:t xml:space="preserve">Increasing Demand for Low-Noise BLDC Solutions in Premium EVs | +0.4% | Europe, North America, China (luxury BEV segments)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suppliers—Bosch, DENSO, Nidec, Continental, BorgWarner, Valeo, Mitsubishi Electric, Hitachi Astemo, Mabuchi, and Johnson Electric—dominate the automotive motors market, controlling a significant share of global sales. Vertical integration stands out as the primary strategy. In recent years, DENSO has invested in amorphous-alloy cores to reduce iron loss. Meanwhile, BorgWarner acquired Santroll’s eMotor division, aligning with its electrification goals. Bosch is piloting a rare-earth recycling line, successfully recovering a high percentage of neodymium, a strategic move to shield against geopolitical uncertainties. Chinese firms Wuxi CasCadi and Shanghai Edrive are capitalizing on the domestic BEV market, offering competitive pricing to challenge established players. They've also started engaging European OEMs, enticing them with extended warranty offers.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technological advancements focus on thermal management, noise reduction, and software integration. Suppliers that merge SiC inverters with graphene thermal pads and embedded diagnostics can command a notable price premium. Honda's recent move to boost its stake in Astemo underscores the growing OEM interest in proprietary software capabilities. Adhering to standards such as ISO 26262 and IATF 16949 poses a significant challenge, requiring extensive validation labs and digital traceability, thereby acting as a barrier for new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Looking ahead, the automotive landscape is set for polarization. Tier-one players with semiconductor fabs, magnet recycling capabilities, and cloud analytics will enjoy the highest profit margins. In contrast, those dealing in commodity hardware may face diminishing returns due to consolidations in zone controllers. As the automotive market expands, it also becomes more competitive, prompting smaller firms to pursue mergers, acquisitions, or joint ventures to gain the scale necessary for survival.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Motors Industry Leaders*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Nidec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Electric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Motors Market Report ScopeThe scope of the report includes Motor Type (DC Motor and More), Application (Powertrain and More), Vehicle Type (Two-Wheelers and More), Sales Channel (OEM and Aftermarket), and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Motor TypeDC Motor | </w:t>
      </w:r>
    </w:p>
    <w:p>
      <w:pPr/>
      <w:r>
        <w:rPr>
          <w:rFonts w:ascii="Helvetica Light" w:hAnsi="Helvetica Light" w:cs="Helvetica Light"/>
          <w:sz w:val="24"/>
          <w:sz-cs w:val="24"/>
        </w:rPr>
        <w:t xml:space="preserve">Brushless DC Motor (BLDC) | </w:t>
      </w:r>
    </w:p>
    <w:p>
      <w:pPr/>
      <w:r>
        <w:rPr>
          <w:rFonts w:ascii="Helvetica Light" w:hAnsi="Helvetica Light" w:cs="Helvetica Light"/>
          <w:sz w:val="24"/>
          <w:sz-cs w:val="24"/>
        </w:rPr>
        <w:t xml:space="preserve">Stepper Motor | </w:t>
      </w:r>
    </w:p>
    <w:p>
      <w:pPr/>
      <w:r>
        <w:rPr>
          <w:rFonts w:ascii="Helvetica Light" w:hAnsi="Helvetica Light" w:cs="Helvetica Light"/>
          <w:sz w:val="24"/>
          <w:sz-cs w:val="24"/>
        </w:rPr>
        <w:t xml:space="preserve">Traction Motor | </w:t>
      </w:r>
    </w:p>
    <w:p>
      <w:pPr/>
      <w:r>
        <w:rPr>
          <w:rFonts w:ascii="Helvetica Light" w:hAnsi="Helvetica Light" w:cs="Helvetica Light"/>
          <w:sz w:val="24"/>
          <w:sz-cs w:val="24"/>
        </w:rPr>
        <w:t xml:space="preserve">Servo Motor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automotive motors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50.01 billion by 2031, expanding at a 4.75% CAGR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motor type is growing fastest in passenger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Traction motors are forecast to post a 4.77% CAGR through 2031 as BEV platforms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demand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44.57% revenue share and is expected to advance at 4.87% CAGR, buoyed by China and India's electrification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aftermarket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vehicle age and right-to-repair rules in Europe and the United States boost replacement demand, pushing aftermarket motors to a 4.81%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supply-chain risk for motor producers?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Dependence on Chinese rare-earth magnets exposes the sector to export restrictions and price swings, subtracting 0.4 percentage points from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supplier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10 vendors hold roughly three-fifths of the market share, giving the market a moderate concentration level (score 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