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Telematics System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Connected Cars, Software &amp; Cockpit (Automotive &amp; Transportation)  </w:t>
      </w:r>
    </w:p>
    <w:p>
      <w:pPr/>
      <w:r>
        <w:rPr>
          <w:rFonts w:ascii="Helvetica Light" w:hAnsi="Helvetica Light" w:cs="Helvetica Light"/>
          <w:sz w:val="24"/>
          <w:sz-cs w:val="24"/>
        </w:rPr>
        <w:t xml:space="preserve">&gt; **Source:** [https://www.mordorintelligence.com/industry-reports/automotive-telematics-system-market](https://www.mordorintelligence.com/industry-reports/automotive-telematics-system-market)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11.47 billion |</w:t>
      </w:r>
    </w:p>
    <w:p>
      <w:pPr/>
      <w:r>
        <w:rPr>
          <w:rFonts w:ascii="Helvetica Light" w:hAnsi="Helvetica Light" w:cs="Helvetica Light"/>
          <w:sz w:val="24"/>
          <w:sz-cs w:val="24"/>
        </w:rPr>
        <w:t xml:space="preserve">| **Projected Forecast (2031)** | USD 11.47 billion |</w:t>
      </w:r>
    </w:p>
    <w:p>
      <w:pPr/>
      <w:r>
        <w:rPr>
          <w:rFonts w:ascii="Helvetica Light" w:hAnsi="Helvetica Light" w:cs="Helvetica Light"/>
          <w:sz w:val="24"/>
          <w:sz-cs w:val="24"/>
        </w:rPr>
        <w:t xml:space="preserve">| **Growth Rate (CAGR)** | 12.38 %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Telematics System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Telematics System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Telematics System Market Share by Service,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Telematics System Market Share by Vehicle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Telematics System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Telematics System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11.47 Billion | </w:t>
      </w:r>
    </w:p>
    <w:p>
      <w:pPr/>
      <w:r>
        <w:rPr>
          <w:rFonts w:ascii="Helvetica Light" w:hAnsi="Helvetica Light" w:cs="Helvetica Light"/>
          <w:sz w:val="24"/>
          <w:sz-cs w:val="24"/>
        </w:rPr>
        <w:t xml:space="preserve">Market Size (2031) | USD 20.56 Billion | </w:t>
      </w:r>
    </w:p>
    <w:p>
      <w:pPr/>
      <w:r>
        <w:rPr>
          <w:rFonts w:ascii="Helvetica Light" w:hAnsi="Helvetica Light" w:cs="Helvetica Light"/>
          <w:sz w:val="24"/>
          <w:sz-cs w:val="24"/>
        </w:rPr>
        <w:t xml:space="preserve">Growth Rate (2026 - 2031) | 12.38 %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Telematics System Market Analysis by Mordor IntelligenceAutomotive telematics system market size in 2026 is estimated at USD 11.47 billion, growing from 2025 value of USD 10.21 billion with 2031 projections showing USD 20.56 billion, growing at 12.38% CAGR over 2026-2031. Rising regulatory requirements for in-vehicle emergency calls, falling connectivity costs, and the shift toward software-defined vehicles are expanding baseline connectivity across model ranges. Commercial operators are turning to telematics to offset fuel volatility and driver shortages, which lifts demand for fleet-management platforms capable of double-digit fuel savings and crash reduction. Growth opportunities also stem from electric-vehicle charging optimization, vehicle-to-grid services, and emerging API marketplaces that let third parties purchase anonymised data streams.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fleet management led with 25.05% revenue share in 2025, whereas V2X &amp; OTA updates are projected to expand at a 31.02% CAGR to 2031.</w:t>
      </w:r>
    </w:p>
    <w:p>
      <w:pPr/>
      <w:r>
        <w:rPr>
          <w:rFonts w:ascii="Helvetica Light" w:hAnsi="Helvetica Light" w:cs="Helvetica Light"/>
          <w:sz w:val="24"/>
          <w:sz-cs w:val="24"/>
        </w:rPr>
        <w:t xml:space="preserve">* By sales channel type, OEM-fitted systems accounted for 66.45% of the automotive telematics market share in 2025, while the aftermarket is set to grow at 19.2% CAGR through 2031.</w:t>
      </w:r>
    </w:p>
    <w:p>
      <w:pPr/>
      <w:r>
        <w:rPr>
          <w:rFonts w:ascii="Helvetica Light" w:hAnsi="Helvetica Light" w:cs="Helvetica Light"/>
          <w:sz w:val="24"/>
          <w:sz-cs w:val="24"/>
        </w:rPr>
        <w:t xml:space="preserve">* By connectivity solution, embedded architectures held 69.40% of the automotive telematics market size in 2025 and are advancing at a 27.1% CAGR.</w:t>
      </w:r>
    </w:p>
    <w:p>
      <w:pPr/>
      <w:r>
        <w:rPr>
          <w:rFonts w:ascii="Helvetica Light" w:hAnsi="Helvetica Light" w:cs="Helvetica Light"/>
          <w:sz w:val="24"/>
          <w:sz-cs w:val="24"/>
        </w:rPr>
        <w:t xml:space="preserve">* By vehicle type, passenger cars contributed 63.62% of 2025 revenue; light commercial vehicles are forecast to grow at 17.9% CAGR between 2026-2031.</w:t>
      </w:r>
    </w:p>
    <w:p>
      <w:pPr/>
      <w:r>
        <w:rPr>
          <w:rFonts w:ascii="Helvetica Light" w:hAnsi="Helvetica Light" w:cs="Helvetica Light"/>
          <w:sz w:val="24"/>
          <w:sz-cs w:val="24"/>
        </w:rPr>
        <w:t xml:space="preserve">* By end-user, fleet operators captured 32.70% of 2025 revenue, whereas car-sharing and mobility providers will record the fastest growth at 24.85% CAGR.</w:t>
      </w:r>
    </w:p>
    <w:p>
      <w:pPr/>
      <w:r>
        <w:rPr>
          <w:rFonts w:ascii="Helvetica Light" w:hAnsi="Helvetica Light" w:cs="Helvetica Light"/>
          <w:sz w:val="24"/>
          <w:sz-cs w:val="24"/>
        </w:rPr>
        <w:t xml:space="preserve">* By geography, North America maintained a 26.90% revenue share in 2025; Asia-Pacific is rising at a 20.9% CAGR on the back of Chinese and Indian digitisation mandates.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Automotive Telematics System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Government eCall Mandates | +2.1% | Europe, Russia, Brazil, spillover to APAC | Medium term (2–4 years) | </w:t>
      </w:r>
    </w:p>
    <w:p>
      <w:pPr/>
      <w:r>
        <w:rPr>
          <w:rFonts w:ascii="Helvetica Light" w:hAnsi="Helvetica Light" w:cs="Helvetica Light"/>
          <w:sz w:val="24"/>
          <w:sz-cs w:val="24"/>
        </w:rPr>
        <w:t xml:space="preserve">Fleet-Optimization Amid Fuel Volatility | +1.8% | Global; focus on North America &amp; Europe | Short term (≤ 2 years) | </w:t>
      </w:r>
    </w:p>
    <w:p>
      <w:pPr/>
      <w:r>
        <w:rPr>
          <w:rFonts w:ascii="Helvetica Light" w:hAnsi="Helvetica Light" w:cs="Helvetica Light"/>
          <w:sz w:val="24"/>
          <w:sz-cs w:val="24"/>
        </w:rPr>
        <w:t xml:space="preserve">Usage-Based-Insurance Adoption | +1.5% | North America, Europe, core APAC markets | Medium term (2–4 years) | </w:t>
      </w:r>
    </w:p>
    <w:p>
      <w:pPr/>
      <w:r>
        <w:rPr>
          <w:rFonts w:ascii="Helvetica Light" w:hAnsi="Helvetica Light" w:cs="Helvetica Light"/>
          <w:sz w:val="24"/>
          <w:sz-cs w:val="24"/>
        </w:rPr>
        <w:t xml:space="preserve">EV Charging-Network Integration | +1.2% | China, EU, California | Long term (≥ 4 years) | </w:t>
      </w:r>
    </w:p>
    <w:p>
      <w:pPr/>
      <w:r>
        <w:rPr>
          <w:rFonts w:ascii="Helvetica Light" w:hAnsi="Helvetica Light" w:cs="Helvetica Light"/>
          <w:sz w:val="24"/>
          <w:sz-cs w:val="24"/>
        </w:rPr>
        <w:t xml:space="preserve">Monetization of In-Vehicle Data | +0.9% | Developed markets | Long term (≥ 4 years) | </w:t>
      </w:r>
    </w:p>
    <w:p>
      <w:pPr/>
      <w:r>
        <w:rPr>
          <w:rFonts w:ascii="Helvetica Light" w:hAnsi="Helvetica Light" w:cs="Helvetica Light"/>
          <w:sz w:val="24"/>
          <w:sz-cs w:val="24"/>
        </w:rPr>
        <w:t xml:space="preserve">UNECE OTA-Cyber-Security Regulations | +0.7% | Europe; global harmonization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sits at a moderate level of concentration as factory-fit solutions from global automakers—including General Motors, Stellantis, Ford, and Toyota—overlap with specialist aftermarket providers such as Verizon Connect, Geotab, Trimble, and TomTom. Pure-play players emphasise data analytics and open-API ecosystems that appeal to enterprise fleets, while Tier-1 suppliers like Continental, Bosch, ZF, and Harman embed 5G and cybersecurity capabilities directly into telematics control units. Technology conglomerates—including LG Electronics and Qualcomm—supply cloud, edge-compute, and AI toolchains that allow smaller brands to white-label end-to-end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partnerships define market evolution. LG Electronics invested USD 60.5 million in a Mexican telematics factory, adding 400 jobs to shorten North American supply chains. HERE Technologies expanded its HD mapping collaboration with fleet-management vendors to deliver centimeter-level lane guidance. Cybersecurity vendors capitalize on UNECE R155 compliance audits, offering managed threat-detection services embedded at the TCU and gateway levels. White-space niches such as agricultural equipment, micro-mobility, and off-highway machinery attract start-ups that bundle ruggedized sensors with cloud dashboards.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differentiation hinges on multi-radio (satellite, cellular, Wi-Fi) connectivity, edge-compute offload, and AI-driven predictive models. 5G Release 17 features like reduced-capability NR devices allow cost-effective rural coverage, while vehicle-edge containerization supports low-latency sensor fusion essential for assisted-driving functions. The race to secure developer mindshare intensifies, with OEMs and Tier-1s launching app stores offering SDKs, documentation and revenue-sharing terms. Success factors now encompass data-governance maturity and the ability to provide cross-domain digital twins linking vehicles, infrastructure and energy grids.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Telematics System Industry Leaders* Robert Bosch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Denso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Harman International (Samsung)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Verizon Connect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is sized as the revenue generated from in-vehicle telematics systems and related services that capture, transmit, and use vehicle data for functions like navigation, safety, diagnostics, and fleet tracking across passenger and commercial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stand-alone infotainment head units that do not enable two-way vehicle data transfer are not counted.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Infotainment and Navigation</w:t>
      </w:r>
    </w:p>
    <w:p>
      <w:pPr/>
      <w:r>
        <w:rPr>
          <w:rFonts w:ascii="Helvetica Light" w:hAnsi="Helvetica Light" w:cs="Helvetica Light"/>
          <w:sz w:val="24"/>
          <w:sz-cs w:val="24"/>
        </w:rPr>
        <w:t xml:space="preserve">* Fleet Management</w:t>
      </w:r>
    </w:p>
    <w:p>
      <w:pPr/>
      <w:r>
        <w:rPr>
          <w:rFonts w:ascii="Helvetica Light" w:hAnsi="Helvetica Light" w:cs="Helvetica Light"/>
          <w:sz w:val="24"/>
          <w:sz-cs w:val="24"/>
        </w:rPr>
        <w:t xml:space="preserve">* Safety &amp; Security</w:t>
      </w:r>
    </w:p>
    <w:p>
      <w:pPr/>
      <w:r>
        <w:rPr>
          <w:rFonts w:ascii="Helvetica Light" w:hAnsi="Helvetica Light" w:cs="Helvetica Light"/>
          <w:sz w:val="24"/>
          <w:sz-cs w:val="24"/>
        </w:rPr>
        <w:t xml:space="preserve">* Diagnostics and Prognostics</w:t>
      </w:r>
    </w:p>
    <w:p>
      <w:pPr/>
      <w:r>
        <w:rPr>
          <w:rFonts w:ascii="Helvetica Light" w:hAnsi="Helvetica Light" w:cs="Helvetica Light"/>
          <w:sz w:val="24"/>
          <w:sz-cs w:val="24"/>
        </w:rPr>
        <w:t xml:space="preserve">* Insurance Telematics</w:t>
      </w:r>
    </w:p>
    <w:p>
      <w:pPr/>
      <w:r>
        <w:rPr>
          <w:rFonts w:ascii="Helvetica Light" w:hAnsi="Helvetica Light" w:cs="Helvetica Light"/>
          <w:sz w:val="24"/>
          <w:sz-cs w:val="24"/>
        </w:rPr>
        <w:t xml:space="preserve">* V2X and OTA Updates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Sales Channel Type* OEM-fitted</w:t>
      </w:r>
    </w:p>
    <w:p>
      <w:pPr/>
      <w:r>
        <w:rPr>
          <w:rFonts w:ascii="Helvetica Light" w:hAnsi="Helvetica Light" w:cs="Helvetica Light"/>
          <w:sz w:val="24"/>
          <w:sz-cs w:val="24"/>
        </w:rPr>
        <w:t xml:space="preserve">* Aftermarket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Connectivity Solution* Embedded</w:t>
      </w:r>
    </w:p>
    <w:p>
      <w:pPr/>
      <w:r>
        <w:rPr>
          <w:rFonts w:ascii="Helvetica Light" w:hAnsi="Helvetica Light" w:cs="Helvetica Light"/>
          <w:sz w:val="24"/>
          <w:sz-cs w:val="24"/>
        </w:rPr>
        <w:t xml:space="preserve">* Integrated-smartphone</w:t>
      </w:r>
    </w:p>
    <w:p>
      <w:pPr/>
      <w:r>
        <w:rPr>
          <w:rFonts w:ascii="Helvetica Light" w:hAnsi="Helvetica Light" w:cs="Helvetica Light"/>
          <w:sz w:val="24"/>
          <w:sz-cs w:val="24"/>
        </w:rPr>
        <w:t xml:space="preserve">* Tethered / Portable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Two-Wheelers</w:t>
      </w:r>
    </w:p>
    <w:p>
      <w:pPr/>
      <w:r>
        <w:rPr>
          <w:rFonts w:ascii="Helvetica Light" w:hAnsi="Helvetica Light" w:cs="Helvetica Light"/>
          <w:sz w:val="24"/>
          <w:sz-cs w:val="24"/>
        </w:rPr>
        <w:t xml:space="preserve">* Passenger Cars* Hatchbacks</w:t>
      </w:r>
    </w:p>
    <w:p>
      <w:pPr/>
      <w:r>
        <w:rPr>
          <w:rFonts w:ascii="Helvetica Light" w:hAnsi="Helvetica Light" w:cs="Helvetica Light"/>
          <w:sz w:val="24"/>
          <w:sz-cs w:val="24"/>
        </w:rPr>
        <w:t xml:space="preserve">* Sedans</w:t>
      </w:r>
    </w:p>
    <w:p>
      <w:pPr/>
      <w:r>
        <w:rPr>
          <w:rFonts w:ascii="Helvetica Light" w:hAnsi="Helvetica Light" w:cs="Helvetica Light"/>
          <w:sz w:val="24"/>
          <w:sz-cs w:val="24"/>
        </w:rPr>
        <w:t xml:space="preserve">* SUVs and MPVs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Light Commercial Vehicles</w:t>
      </w:r>
    </w:p>
    <w:p>
      <w:pPr/>
      <w:r>
        <w:rPr>
          <w:rFonts w:ascii="Helvetica Light" w:hAnsi="Helvetica Light" w:cs="Helvetica Light"/>
          <w:sz w:val="24"/>
          <w:sz-cs w:val="24"/>
        </w:rPr>
        <w:t xml:space="preserve">* Medium and Heavy Commercial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Private Consumers</w:t>
      </w:r>
    </w:p>
    <w:p>
      <w:pPr/>
      <w:r>
        <w:rPr>
          <w:rFonts w:ascii="Helvetica Light" w:hAnsi="Helvetica Light" w:cs="Helvetica Light"/>
          <w:sz w:val="24"/>
          <w:sz-cs w:val="24"/>
        </w:rPr>
        <w:t xml:space="preserve">* Fleet Operators</w:t>
      </w:r>
    </w:p>
    <w:p>
      <w:pPr/>
      <w:r>
        <w:rPr>
          <w:rFonts w:ascii="Helvetica Light" w:hAnsi="Helvetica Light" w:cs="Helvetica Light"/>
          <w:sz w:val="24"/>
          <w:sz-cs w:val="24"/>
        </w:rPr>
        <w:t xml:space="preserve">* Insurance and Leasing Firms</w:t>
      </w:r>
    </w:p>
    <w:p>
      <w:pPr/>
      <w:r>
        <w:rPr>
          <w:rFonts w:ascii="Helvetica Light" w:hAnsi="Helvetica Light" w:cs="Helvetica Light"/>
          <w:sz w:val="24"/>
          <w:sz-cs w:val="24"/>
        </w:rPr>
        <w:t xml:space="preserve">* Car-Sharing and Mobility Providers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Egypt</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United Arab of Emirates</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automotive telematics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generated USD 11.47 billion in 2026 and is forecast to reach USD 20.56 billion by 2031, growing at a 12.38%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category holds the largest share of the automotive telematics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Fleet-management platforms lead with a 25.05% revenue share in 2025, thanks to proven fuel savings and safety benefits.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the fastest-growing region for automotive telematics?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Chinese connected-car mandates and Indian commercial-vehicle digitization policies are driving a 20.9% CAGR in Asia–Pacific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OEM-fitted and aftermarket channels compare?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OEM-fitted systems captured 66.45% of 2025 revenue, but aftermarket solutions are expanding at 19.2% CAGR as older fleets retrofit connectivity.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