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Autonomous (Driverless) Cars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Autonomous Driving, ADAS &amp; Safety (Automotive &amp; Transportation)  </w:t>
      </w:r>
    </w:p>
    <w:p>
      <w:pPr/>
      <w:r>
        <w:rPr>
          <w:rFonts w:ascii="Helvetica Light" w:hAnsi="Helvetica Light" w:cs="Helvetica Light"/>
          <w:sz w:val="24"/>
          <w:sz-cs w:val="24"/>
        </w:rPr>
        <w:t xml:space="preserve">&gt; **Source:** [https://www.mordorintelligence.com/industry-reports/autonomous-driverless-cars-market-potential-estimation](https://www.mordorintelligence.com/industry-reports/autonomous-driverless-cars-market-potential-estimation)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220.58 billion |</w:t>
      </w:r>
    </w:p>
    <w:p>
      <w:pPr/>
      <w:r>
        <w:rPr>
          <w:rFonts w:ascii="Helvetica Light" w:hAnsi="Helvetica Light" w:cs="Helvetica Light"/>
          <w:sz w:val="24"/>
          <w:sz-cs w:val="24"/>
        </w:rPr>
        <w:t xml:space="preserve">| **Projected Forecast (2031)** | USD 220.58 billion |</w:t>
      </w:r>
    </w:p>
    <w:p>
      <w:pPr/>
      <w:r>
        <w:rPr>
          <w:rFonts w:ascii="Helvetica Light" w:hAnsi="Helvetica Light" w:cs="Helvetica Light"/>
          <w:sz w:val="24"/>
          <w:sz-cs w:val="24"/>
        </w:rPr>
        <w:t xml:space="preserve">| **Growth Rate (CAGR)** | 24.37 %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Autonomous (Driverless) Cars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![Autonomous (Driverless) Cars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![Autonomous (Driverless) Cars Market Share by Level of Automation,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![Autonomous (Driverless) Cars Market Share by Mobility Form,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![Autonomous (Driverless) Cars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![Autonomous (Driverless) Cars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2019 - 2031 | </w:t>
      </w:r>
    </w:p>
    <w:p>
      <w:pPr/>
      <w:r>
        <w:rPr>
          <w:rFonts w:ascii="Helvetica Light" w:hAnsi="Helvetica Light" w:cs="Helvetica Light"/>
          <w:sz w:val="24"/>
          <w:sz-cs w:val="24"/>
        </w:rPr>
        <w:t xml:space="preserve">Market Size (2026) | USD 220.58 Billion | </w:t>
      </w:r>
    </w:p>
    <w:p>
      <w:pPr/>
      <w:r>
        <w:rPr>
          <w:rFonts w:ascii="Helvetica Light" w:hAnsi="Helvetica Light" w:cs="Helvetica Light"/>
          <w:sz w:val="24"/>
          <w:sz-cs w:val="24"/>
        </w:rPr>
        <w:t xml:space="preserve">Market Size (2031) | USD 656.37 Billion | </w:t>
      </w:r>
    </w:p>
    <w:p>
      <w:pPr/>
      <w:r>
        <w:rPr>
          <w:rFonts w:ascii="Helvetica Light" w:hAnsi="Helvetica Light" w:cs="Helvetica Light"/>
          <w:sz w:val="24"/>
          <w:sz-cs w:val="24"/>
        </w:rPr>
        <w:t xml:space="preserve">Growth Rate (2026 - 2031) | 24.37 %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Autonomous (Driverless) Cars Market Analysis by Mordor IntelligenceThe autonomous (driverless) cars market size is expected to grow from USD 177.20 billion in 2025 to USD 220.58 billion in 2026, and is forecast to reach USD 656.37 billion by 2031, at a CAGR of 24.37% during the forecast period (2026-2031). Rising affordability of sensors and computing, expanding robo-taxi pilots in major Asian cities, and new safety mandates in the European Union and China continue to drive the autonomous (driverless) cars market toward mass-market acceptance. Automakers have begun embedding Level 2 features as standard equipment to comply with regulations, thereby boosting economies of scale and lowering unit hardware costs. Software now drives much of the value creation because perception, mapping, and planning engines can be upgraded through over-the-air updates, creating recurring revenue streams. Hardware commoditization, 5G-enabled vehicle-to-everything corridors, and power-efficient automotive system-on-chips signal shorter commercialization lead times for higher-autonomy tiers.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level of automation, Level 1 driver assistance held 43.47% of the autonomous (driverless) cars market share in 2025, while Level 5 full automation is forecast to expand at a 24.39% CAGR through 2031. </w:t>
      </w:r>
    </w:p>
    <w:p>
      <w:pPr/>
      <w:r>
        <w:rPr>
          <w:rFonts w:ascii="Helvetica Light" w:hAnsi="Helvetica Light" w:cs="Helvetica Light"/>
          <w:sz w:val="24"/>
          <w:sz-cs w:val="24"/>
        </w:rPr>
        <w:t xml:space="preserve">* By vehicle type, sport-utility vehicles and multi-purpose vehicles captured 78.81% of the autonomous (driverless) cars market share in 2025, whereas hatchbacks are expected to post a 25.11% CAGR to 2031.</w:t>
      </w:r>
    </w:p>
    <w:p>
      <w:pPr/>
      <w:r>
        <w:rPr>
          <w:rFonts w:ascii="Helvetica Light" w:hAnsi="Helvetica Light" w:cs="Helvetica Light"/>
          <w:sz w:val="24"/>
          <w:sz-cs w:val="24"/>
        </w:rPr>
        <w:t xml:space="preserve">* By propulsion type, internal combustion engine vehicles retained 66.37% of the autonomous (driverless) cars market share in 2025. However, battery electric vehicles are expected to grow at a 25.01% CAGR over the forecast period. </w:t>
      </w:r>
    </w:p>
    <w:p>
      <w:pPr/>
      <w:r>
        <w:rPr>
          <w:rFonts w:ascii="Helvetica Light" w:hAnsi="Helvetica Light" w:cs="Helvetica Light"/>
          <w:sz w:val="24"/>
          <w:sz-cs w:val="24"/>
        </w:rPr>
        <w:t xml:space="preserve">* By mobility form, personal ownership is projected to account for 74.35% of the autonomous (driverless) cars market share in 2025, while shared mobility is expected to grow at a 25.13% CAGR through 2031. </w:t>
      </w:r>
    </w:p>
    <w:p>
      <w:pPr/>
      <w:r>
        <w:rPr>
          <w:rFonts w:ascii="Helvetica Light" w:hAnsi="Helvetica Light" w:cs="Helvetica Light"/>
          <w:sz w:val="24"/>
          <w:sz-cs w:val="24"/>
        </w:rPr>
        <w:t xml:space="preserve">* By component, hardware accounted for 55.57% of the autonomous (driverless) cars market share in 2025, although software is projected to register a 25.07% CAGR through 2031. </w:t>
      </w:r>
    </w:p>
    <w:p>
      <w:pPr/>
      <w:r>
        <w:rPr>
          <w:rFonts w:ascii="Helvetica Light" w:hAnsi="Helvetica Light" w:cs="Helvetica Light"/>
          <w:sz w:val="24"/>
          <w:sz-cs w:val="24"/>
        </w:rPr>
        <w:t xml:space="preserve">* By geography, North America led the autonomous (driverless) cars market with 38.71% market share in 2025, whereas Asia Pacific is on track for a 25.05% CAGR over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Autonomous (Driverless) Cars Market*Driver | (~)% Impact on CAGR Forecast | Geographic Relevance | Impact Timeline | </w:t>
      </w:r>
    </w:p>
    <w:p>
      <w:pPr/>
      <w:r>
        <w:rPr>
          <w:rFonts w:ascii="Helvetica Light" w:hAnsi="Helvetica Light" w:cs="Helvetica Light"/>
          <w:sz w:val="24"/>
          <w:sz-cs w:val="24"/>
        </w:rPr>
        <w:t xml:space="preserve">Rapid Expansion of Robo-Taxi Pilots | +4.2% | China (Wuhan, Beijing, Shenzhen, Guangzhou), Japan (Tokyo, Osaka) | Short term (≤ 2 years) | </w:t>
      </w:r>
    </w:p>
    <w:p>
      <w:pPr/>
      <w:r>
        <w:rPr>
          <w:rFonts w:ascii="Helvetica Light" w:hAnsi="Helvetica Light" w:cs="Helvetica Light"/>
          <w:sz w:val="24"/>
          <w:sz-cs w:val="24"/>
        </w:rPr>
        <w:t xml:space="preserve">Government Mandates for ADAS-Centric Safety Regulations | +3.8% | Europe, China, with spillover to ASEAN markets adopting UN R157 | Medium term (2-4 years) | </w:t>
      </w:r>
    </w:p>
    <w:p>
      <w:pPr/>
      <w:r>
        <w:rPr>
          <w:rFonts w:ascii="Helvetica Light" w:hAnsi="Helvetica Light" w:cs="Helvetica Light"/>
          <w:sz w:val="24"/>
          <w:sz-cs w:val="24"/>
        </w:rPr>
        <w:t xml:space="preserve">Falling LiDAR and AI Compute Costs | +3.5% | Global, with early adoption in North America and Europe | Medium term (2-4 years) | </w:t>
      </w:r>
    </w:p>
    <w:p>
      <w:pPr/>
      <w:r>
        <w:rPr>
          <w:rFonts w:ascii="Helvetica Light" w:hAnsi="Helvetica Light" w:cs="Helvetica Light"/>
          <w:sz w:val="24"/>
          <w:sz-cs w:val="24"/>
        </w:rPr>
        <w:t xml:space="preserve">5G-V2X Corridor Roll-outs | +3.1% | United States, Canada, with pilot extensions to Mexico | Medium term (2-4 years) | </w:t>
      </w:r>
    </w:p>
    <w:p>
      <w:pPr/>
      <w:r>
        <w:rPr>
          <w:rFonts w:ascii="Helvetica Light" w:hAnsi="Helvetica Light" w:cs="Helvetica Light"/>
          <w:sz w:val="24"/>
          <w:sz-cs w:val="24"/>
        </w:rPr>
        <w:t xml:space="preserve">Power-Efficient Automotive SoCs Enabling Higher-Autonomy Tiers | +2.9% | Global, led by North America and Asia Pacific | Long term (≥ 4 years) | </w:t>
      </w:r>
    </w:p>
    <w:p>
      <w:pPr/>
      <w:r>
        <w:rPr>
          <w:rFonts w:ascii="Helvetica Light" w:hAnsi="Helvetica Light" w:cs="Helvetica Light"/>
          <w:sz w:val="24"/>
          <w:sz-cs w:val="24"/>
        </w:rPr>
        <w:t xml:space="preserve">Fleet Decarbonization Targets Accelerating Autonomous Middle-Mile Logistics | +2.7% | Europe (Germany, Netherlands, France), with early gains in Scandinavia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Competition remains moderately fragmented. Waymo operates a fleet-first model, deploying a significant number of Jaguar I-PACE robo-taxis. In contrast, Tesla integrates software into consumer vehicles, capitalizing on subscription monetization. Mobileye secures royalty streams by licensing EyeQ chips and perception software to numerous automakers, eliminating the burden of a capital-intensive fleet. NVIDIA pairs its Thor SoCs with software and cloud simulation, levying annual fees for validation services. Meanwhile, Chinese entities such as Baidu, BYD, and Pony.ai utilize municipal partnerships to expedite permit approvals and secure public funding.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Middle-mile freight emerges as a pivotal opportunity. Aurora Innovation partners with FedEx and Uber Freight on key routes in Texas, while Kodiak Robotics navigates a central corridor connecting Arizona and Texas. Sensor pioneers, such as Aeva and Ouster, are developing frequency-modulated continuous-wave LiDAR systems equipped with native velocity data, thereby reducing computational demands. Patent filings reveal distinct focuses: Waymo emphasizes sensor fusion and path planning, whereas Tesla zeroes in on neural network training and over-the-air updates.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Tier-one suppliers, including Continental, Bosch, and Aptiv, offer safety-certified integration services, a feat challenging for smaller startups to replicate economically. With compliance to ISO 26262 and UN R157 setting the baseline, younger software firms are increasingly partnering with established component suppliers to scale validation. As the decade progresses, firms adept at merging data network effects, regulatory know-how, and capital efficiency are poised for market consolidation.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Autonomous (Driverless) Cars Industry Leaders* Tesla,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Volkswagen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Toyota Motor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Mercedes-Benz Group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BYD Auto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Our study treats the global autonomous-car market as revenue generated from the factory sale of passenger and light commercial vehicles equipped with Society of Automotive Engineers (SAE) Level 3 through Level 5 automation hardware, software, and integrated services. Vehicles restricted to Level 0-2 driver assistance are tracked only as feeder data for penetration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 aftermarket retrofit kits and off-road specialty vehicles are not counted.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Level of Automation* Level 1- Driver Assistance</w:t>
      </w:r>
    </w:p>
    <w:p>
      <w:pPr/>
      <w:r>
        <w:rPr>
          <w:rFonts w:ascii="Helvetica Light" w:hAnsi="Helvetica Light" w:cs="Helvetica Light"/>
          <w:sz w:val="24"/>
          <w:sz-cs w:val="24"/>
        </w:rPr>
        <w:t xml:space="preserve">* Level 2 - Partial Automation</w:t>
      </w:r>
    </w:p>
    <w:p>
      <w:pPr/>
      <w:r>
        <w:rPr>
          <w:rFonts w:ascii="Helvetica Light" w:hAnsi="Helvetica Light" w:cs="Helvetica Light"/>
          <w:sz w:val="24"/>
          <w:sz-cs w:val="24"/>
        </w:rPr>
        <w:t xml:space="preserve">* Level 3 - Conditional Automation</w:t>
      </w:r>
    </w:p>
    <w:p>
      <w:pPr/>
      <w:r>
        <w:rPr>
          <w:rFonts w:ascii="Helvetica Light" w:hAnsi="Helvetica Light" w:cs="Helvetica Light"/>
          <w:sz w:val="24"/>
          <w:sz-cs w:val="24"/>
        </w:rPr>
        <w:t xml:space="preserve">* Level 4 - High Automation</w:t>
      </w:r>
    </w:p>
    <w:p>
      <w:pPr/>
      <w:r>
        <w:rPr>
          <w:rFonts w:ascii="Helvetica Light" w:hAnsi="Helvetica Light" w:cs="Helvetica Light"/>
          <w:sz w:val="24"/>
          <w:sz-cs w:val="24"/>
        </w:rPr>
        <w:t xml:space="preserve">* Level 5 - Full Automation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Vehicle Type* Hatchbacks</w:t>
      </w:r>
    </w:p>
    <w:p>
      <w:pPr/>
      <w:r>
        <w:rPr>
          <w:rFonts w:ascii="Helvetica Light" w:hAnsi="Helvetica Light" w:cs="Helvetica Light"/>
          <w:sz w:val="24"/>
          <w:sz-cs w:val="24"/>
        </w:rPr>
        <w:t xml:space="preserve">* Sedans</w:t>
      </w:r>
    </w:p>
    <w:p>
      <w:pPr/>
      <w:r>
        <w:rPr>
          <w:rFonts w:ascii="Helvetica Light" w:hAnsi="Helvetica Light" w:cs="Helvetica Light"/>
          <w:sz w:val="24"/>
          <w:sz-cs w:val="24"/>
        </w:rPr>
        <w:t xml:space="preserve">* Sport Utility Vehicles (SUVs) and Multi-Purpose Vehicles (MPVs)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Propulsion Type* Internal Combustion Engine (ICE)</w:t>
      </w:r>
    </w:p>
    <w:p>
      <w:pPr/>
      <w:r>
        <w:rPr>
          <w:rFonts w:ascii="Helvetica Light" w:hAnsi="Helvetica Light" w:cs="Helvetica Light"/>
          <w:sz w:val="24"/>
          <w:sz-cs w:val="24"/>
        </w:rPr>
        <w:t xml:space="preserve">* Battery Electric Vehicles (BEV)</w:t>
      </w:r>
    </w:p>
    <w:p>
      <w:pPr/>
      <w:r>
        <w:rPr>
          <w:rFonts w:ascii="Helvetica Light" w:hAnsi="Helvetica Light" w:cs="Helvetica Light"/>
          <w:sz w:val="24"/>
          <w:sz-cs w:val="24"/>
        </w:rPr>
        <w:t xml:space="preserve">* Hybrid Electric Vehicles (HEV)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Mobility Form* Personal Ownership</w:t>
      </w:r>
    </w:p>
    <w:p>
      <w:pPr/>
      <w:r>
        <w:rPr>
          <w:rFonts w:ascii="Helvetica Light" w:hAnsi="Helvetica Light" w:cs="Helvetica Light"/>
          <w:sz w:val="24"/>
          <w:sz-cs w:val="24"/>
        </w:rPr>
        <w:t xml:space="preserve">* Shared Mobility (Robo-Taxi, Shuttle)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Component* Hardware* Sensors (LiDAR, RADAR, Cameras, Ultrasonic, IMU)</w:t>
      </w:r>
    </w:p>
    <w:p>
      <w:pPr/>
      <w:r>
        <w:rPr>
          <w:rFonts w:ascii="Helvetica Light" w:hAnsi="Helvetica Light" w:cs="Helvetica Light"/>
          <w:sz w:val="24"/>
          <w:sz-cs w:val="24"/>
        </w:rPr>
        <w:t xml:space="preserve">* Computing Platforms (SoCs, GPUs)</w:t>
      </w:r>
    </w:p>
    <w:p>
      <w:pPr/>
      <w:r>
        <w:rPr>
          <w:rFonts w:ascii="Helvetica Light" w:hAnsi="Helvetica Light" w:cs="Helvetica Light"/>
          <w:sz w:val="24"/>
          <w:sz-cs w:val="24"/>
        </w:rPr>
        <w:t xml:space="preserve">* Actuators and Control 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Software* Perception and Planning Suites</w:t>
      </w:r>
    </w:p>
    <w:p>
      <w:pPr/>
      <w:r>
        <w:rPr>
          <w:rFonts w:ascii="Helvetica Light" w:hAnsi="Helvetica Light" w:cs="Helvetica Light"/>
          <w:sz w:val="24"/>
          <w:sz-cs w:val="24"/>
        </w:rPr>
        <w:t xml:space="preserve">* Mapping and Localization Engines</w:t>
      </w:r>
    </w:p>
    <w:p>
      <w:pPr/>
      <w:r>
        <w:rPr>
          <w:rFonts w:ascii="Helvetica Light" w:hAnsi="Helvetica Light" w:cs="Helvetica Light"/>
          <w:sz w:val="24"/>
          <w:sz-cs w:val="24"/>
        </w:rPr>
        <w:t xml:space="preserve">* Driver Monitoring and HMI</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Services* Integration and Validation</w:t>
      </w:r>
    </w:p>
    <w:p>
      <w:pPr/>
      <w:r>
        <w:rPr>
          <w:rFonts w:ascii="Helvetica Light" w:hAnsi="Helvetica Light" w:cs="Helvetica Light"/>
          <w:sz w:val="24"/>
          <w:sz-cs w:val="24"/>
        </w:rPr>
        <w:t xml:space="preserve">* Remote Operation and Tele-operation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 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Rest of Asia 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was the global value of autonomous (driverless) cars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recorded revenue of USD 220.58 billion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is the compound annual growth rate expected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projected to expand at a 24.37% CAGR to USD 656.37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led the autonomous (driverless) cars market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North America accounted for 38.71% of the market, driven by active robo-taxi fleets and increasing consumer software subscriptions.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propulsion system shows the fastest growth outlook?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Battery electric vehicles are forecast to grow at a 25.01% CAGR because their electrical architectures match autonomous system requirements.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biggest regulatory tailwind for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European General Safety Regulation, effective July 2024, makes Level 2 driver-assistance features mandatory, accelerating sensor install rates.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Where are robo-taxis scaling most rapidly?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Chinese cities such as Wuhan, Beijing, and Shenzhen show the highest near-term fleet growth and permit issuance.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