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Bed And Breakfast Accommodation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[https://www.mordorintelligence.com/industry-reports/bed-and-breakfast-accommodation-market](https://www.mordorintelligence.com/industry-reports/bed-and-breakfast-accommodation-market)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33.75 billion |</w:t>
      </w:r>
    </w:p>
    <w:p>
      <w:pPr/>
      <w:r>
        <w:rPr>
          <w:rFonts w:ascii="Helvetica Light" w:hAnsi="Helvetica Light" w:cs="Helvetica Light"/>
          <w:sz w:val="24"/>
          <w:sz-cs w:val="24"/>
        </w:rPr>
        <w:t xml:space="preserve">| **Projected Forecast (2031)** | USD 33.75 billion |</w:t>
      </w:r>
    </w:p>
    <w:p>
      <w:pPr/>
      <w:r>
        <w:rPr>
          <w:rFonts w:ascii="Helvetica Light" w:hAnsi="Helvetica Light" w:cs="Helvetica Light"/>
          <w:sz w:val="24"/>
          <w:sz-cs w:val="24"/>
        </w:rPr>
        <w:t xml:space="preserve">| **Growth Rate (CAGR)** | 4.95 %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Bed And Breakfast Accommodation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Market: Market Share By Accommodation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Market: Market Share By Traveler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Market: Market Shrare By Price Point,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33.75 Billion | </w:t>
      </w:r>
    </w:p>
    <w:p>
      <w:pPr/>
      <w:r>
        <w:rPr>
          <w:rFonts w:ascii="Helvetica Light" w:hAnsi="Helvetica Light" w:cs="Helvetica Light"/>
          <w:sz w:val="24"/>
          <w:sz-cs w:val="24"/>
        </w:rPr>
        <w:t xml:space="preserve">Market Size (2031) | USD 42.99 Billion | </w:t>
      </w:r>
    </w:p>
    <w:p>
      <w:pPr/>
      <w:r>
        <w:rPr>
          <w:rFonts w:ascii="Helvetica Light" w:hAnsi="Helvetica Light" w:cs="Helvetica Light"/>
          <w:sz w:val="24"/>
          <w:sz-cs w:val="24"/>
        </w:rPr>
        <w:t xml:space="preserve">Growth Rate (2026 - 2031) | 4.95 %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Market Analysis by Mordor IntelligenceThe bed and breakfast market size was valued at USD 32.16 billion in 2025 and estimated to grow from USD 33.75 billion in 2026 to reach USD 42.99 billion by 2031, at a CAGR of 4.95% during the forecast period (2026-2031). A decisive shift toward authentic, small-scale lodging, coupled with digital booking innovations, shapes this expansion. Rural properties continue to capture growing domestic tourism flows, while boutique and heritage inns outperform generic lodging by leaning into experiential travel. Technology-enabled distribution platforms have reduced entry barriers for independent operators yet tightening short-term rental rules in urban centers underscore the need for agile compliance strategies. Ongoing labor shortages and climate-linked insurance costs remain the principal headwinds.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accommodation type, boutique and heritage inns led with 31.62% revenue of the bed and breakfast accommodation market share in 2025.</w:t>
      </w:r>
    </w:p>
    <w:p>
      <w:pPr/>
      <w:r>
        <w:rPr>
          <w:rFonts w:ascii="Helvetica Light" w:hAnsi="Helvetica Light" w:cs="Helvetica Light"/>
          <w:sz w:val="24"/>
          <w:sz-cs w:val="24"/>
        </w:rPr>
        <w:t xml:space="preserve">* By location setting, rural properties accounted for 42.98% of the bed and breakfast accommodation market share in 2025.</w:t>
      </w:r>
    </w:p>
    <w:p>
      <w:pPr/>
      <w:r>
        <w:rPr>
          <w:rFonts w:ascii="Helvetica Light" w:hAnsi="Helvetica Light" w:cs="Helvetica Light"/>
          <w:sz w:val="24"/>
          <w:sz-cs w:val="24"/>
        </w:rPr>
        <w:t xml:space="preserve">* By price point, the mid-scale segment contributed 48.94% of the bed and breakfast accommodation market size in 2025; luxury is projected to rise at 6.88% CAGR to 2031.</w:t>
      </w:r>
    </w:p>
    <w:p>
      <w:pPr/>
      <w:r>
        <w:rPr>
          <w:rFonts w:ascii="Helvetica Light" w:hAnsi="Helvetica Light" w:cs="Helvetica Light"/>
          <w:sz w:val="24"/>
          <w:sz-cs w:val="24"/>
        </w:rPr>
        <w:t xml:space="preserve">* By geography, North America held 43.15% of the bed and breakfast accommodation market share in 2025, whereas Asia-Pacific posts the fastest regional CAGR at 8.45% through 2031.</w:t>
      </w:r>
    </w:p>
    <w:p>
      <w:pPr/>
      <w:r>
        <w:rPr>
          <w:rFonts w:ascii="Helvetica Light" w:hAnsi="Helvetica Light" w:cs="Helvetica Light"/>
          <w:sz w:val="24"/>
          <w:sz-cs w:val="24"/>
        </w:rPr>
        <w:t xml:space="preserve">* The bed and breakfast market exhibits high fragmentation with the top 5 players, Airbnb, B&amp;B HOTELS Group, OYO Hotels &amp; Homes, Select Registry Distinguished Inns, and The Inn Collection Group, collectively holding modest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Bed And Breakfast Accommodation Market*Driver | (~) % Impact on CAGR Forecast | Geographic Relevance | Impact Timeline | </w:t>
      </w:r>
    </w:p>
    <w:p>
      <w:pPr/>
      <w:r>
        <w:rPr>
          <w:rFonts w:ascii="Helvetica Light" w:hAnsi="Helvetica Light" w:cs="Helvetica Light"/>
          <w:sz w:val="24"/>
          <w:sz-cs w:val="24"/>
        </w:rPr>
        <w:t xml:space="preserve">Growing demand for personalized experiential travel | +1.2% | Global, with premium impact in North America &amp; Europe | Medium term (2-4 years) | </w:t>
      </w:r>
    </w:p>
    <w:p>
      <w:pPr/>
      <w:r>
        <w:rPr>
          <w:rFonts w:ascii="Helvetica Light" w:hAnsi="Helvetica Light" w:cs="Helvetica Light"/>
          <w:sz w:val="24"/>
          <w:sz-cs w:val="24"/>
        </w:rPr>
        <w:t xml:space="preserve">Rapid expansion of online booking and OTA ecosystems | +0.9% | Global, accelerated in Asia-Pacific markets | Short term (≤ 2 years) | </w:t>
      </w:r>
    </w:p>
    <w:p>
      <w:pPr/>
      <w:r>
        <w:rPr>
          <w:rFonts w:ascii="Helvetica Light" w:hAnsi="Helvetica Light" w:cs="Helvetica Light"/>
          <w:sz w:val="24"/>
          <w:sz-cs w:val="24"/>
        </w:rPr>
        <w:t xml:space="preserve">Surge in domestic short-stay tourism post-pandemic | +0.8% | North America, Europe, India core markets | Short term (≤ 2 years) | </w:t>
      </w:r>
    </w:p>
    <w:p>
      <w:pPr/>
      <w:r>
        <w:rPr>
          <w:rFonts w:ascii="Helvetica Light" w:hAnsi="Helvetica Light" w:cs="Helvetica Light"/>
          <w:sz w:val="24"/>
          <w:sz-cs w:val="24"/>
        </w:rPr>
        <w:t xml:space="preserve">Rising disposable incomes of Millennials and Boomers | +0.7% | North America, Europe, emerging APAC markets | Long term (≥ 4 years) | </w:t>
      </w:r>
    </w:p>
    <w:p>
      <w:pPr/>
      <w:r>
        <w:rPr>
          <w:rFonts w:ascii="Helvetica Light" w:hAnsi="Helvetica Light" w:cs="Helvetica Light"/>
          <w:sz w:val="24"/>
          <w:sz-cs w:val="24"/>
        </w:rPr>
        <w:t xml:space="preserve">Hybrid "work-cation" B&amp;B packages for remote workers | +0.4% | North America, Europe, select urban-adjacent rural areas | Medium term (2-4 years) | </w:t>
      </w:r>
    </w:p>
    <w:p>
      <w:pPr/>
      <w:r>
        <w:rPr>
          <w:rFonts w:ascii="Helvetica Light" w:hAnsi="Helvetica Light" w:cs="Helvetica Light"/>
          <w:sz w:val="24"/>
          <w:sz-cs w:val="24"/>
        </w:rPr>
        <w:t xml:space="preserve">Rural sustainability grants fueling community B&amp;Bs | +0.2% | Europe, North America, Australia regional focus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markedly fragmented; Airbnb, B&amp;B HOTELS Group, OYO Hotels &amp; Homes, Select Registry Distinguished Inns, and The Inn Collection Group jointly control only a small slice of global revenues. Such diffusion allows nimble independents to thrive by highlighting uniqueness rather than brand uniformity. Technology has leveled the playing field, enabling single-property hosts to access channel managers, dynamic pricing, and AI-driven marketing once reserved for large chains.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thrusts center on portfolio diversification and digital direct-to-consumer funnels. OYO’s USD 525 million purchase of G6 Hospitality widened its economy footprint while Marriott’s USD 355 million CitizenM acquisition diversified its lifestyle offering [3]Source: Marriott International, “Marriott to Acquire CitizenM,” marriott.com. . Airbnb’s 2025 platform revamps now bundles services like catering and personal coaching, extending its customer lifetime value beyond lodging. Meanwhile, regional collectives leverage shared procurements to cut linen, amenity, and insurance costs.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High-growth adjacencies include work-cation-centric clusters, sustainability-certified farm stays, and blockchain-enabled loyalty exchanges. Mergers among third-party management groups, such as Pyramid Global’s tie-up with Axiom Hospitality, illustrate the race to scale operational synergies. Looking forward to data-rich revenue management, embedded fintech for trip financing, and dynamic packaging APIs from suppliers like Expedia will further reshape competitive contours.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Bed And Breakfast Accommodation Industry Leaders* Airbnb,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B&amp;B HOTELS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OYO Hotels &amp;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Select Registry Distinguished Inns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Inn Collection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 earned from paid overnight stays at bed-and-breakfast properties where breakfast is included in the room rate and is prepared and served on-site, across the study geographies and time period. We treat this spend as the guest-facing accommodation revenue tied to these stays.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whole-home vacation rentals, hostels, and large boutique hotels even if they offer breakfast.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Accommodation Type* Luxury BandBs</w:t>
      </w:r>
    </w:p>
    <w:p>
      <w:pPr/>
      <w:r>
        <w:rPr>
          <w:rFonts w:ascii="Helvetica Light" w:hAnsi="Helvetica Light" w:cs="Helvetica Light"/>
          <w:sz w:val="24"/>
          <w:sz-cs w:val="24"/>
        </w:rPr>
        <w:t xml:space="preserve">* Boutique / Heritage Inns</w:t>
      </w:r>
    </w:p>
    <w:p>
      <w:pPr/>
      <w:r>
        <w:rPr>
          <w:rFonts w:ascii="Helvetica Light" w:hAnsi="Helvetica Light" w:cs="Helvetica Light"/>
          <w:sz w:val="24"/>
          <w:sz-cs w:val="24"/>
        </w:rPr>
        <w:t xml:space="preserve">* Farm-stay and Agri-tourism BandBs</w:t>
      </w:r>
    </w:p>
    <w:p>
      <w:pPr/>
      <w:r>
        <w:rPr>
          <w:rFonts w:ascii="Helvetica Light" w:hAnsi="Helvetica Light" w:cs="Helvetica Light"/>
          <w:sz w:val="24"/>
          <w:sz-cs w:val="24"/>
        </w:rPr>
        <w:t xml:space="preserve">* Budget / Economy BandBs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Price Point* Luxury</w:t>
      </w:r>
    </w:p>
    <w:p>
      <w:pPr/>
      <w:r>
        <w:rPr>
          <w:rFonts w:ascii="Helvetica Light" w:hAnsi="Helvetica Light" w:cs="Helvetica Light"/>
          <w:sz w:val="24"/>
          <w:sz-cs w:val="24"/>
        </w:rPr>
        <w:t xml:space="preserve">* Mid-scale</w:t>
      </w:r>
    </w:p>
    <w:p>
      <w:pPr/>
      <w:r>
        <w:rPr>
          <w:rFonts w:ascii="Helvetica Light" w:hAnsi="Helvetica Light" w:cs="Helvetica Light"/>
          <w:sz w:val="24"/>
          <w:sz-cs w:val="24"/>
        </w:rPr>
        <w:t xml:space="preserve">* Economy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Traveller Type* Leisure</w:t>
      </w:r>
    </w:p>
    <w:p>
      <w:pPr/>
      <w:r>
        <w:rPr>
          <w:rFonts w:ascii="Helvetica Light" w:hAnsi="Helvetica Light" w:cs="Helvetica Light"/>
          <w:sz w:val="24"/>
          <w:sz-cs w:val="24"/>
        </w:rPr>
        <w:t xml:space="preserve">* Business</w:t>
      </w:r>
    </w:p>
    <w:p>
      <w:pPr/>
      <w:r>
        <w:rPr>
          <w:rFonts w:ascii="Helvetica Light" w:hAnsi="Helvetica Light" w:cs="Helvetica Light"/>
          <w:sz w:val="24"/>
          <w:sz-cs w:val="24"/>
        </w:rPr>
        <w:t xml:space="preserve">* Bleisure / Work-cation</w:t>
      </w:r>
    </w:p>
    <w:p>
      <w:pPr/>
      <w:r>
        <w:rPr>
          <w:rFonts w:ascii="Helvetica Light" w:hAnsi="Helvetica Light" w:cs="Helvetica Light"/>
          <w:sz w:val="24"/>
          <w:sz-cs w:val="24"/>
        </w:rPr>
        <w:t xml:space="preserve">* Solo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Booking Channel* Online Travel Agencies (OTAs)</w:t>
      </w:r>
    </w:p>
    <w:p>
      <w:pPr/>
      <w:r>
        <w:rPr>
          <w:rFonts w:ascii="Helvetica Light" w:hAnsi="Helvetica Light" w:cs="Helvetica Light"/>
          <w:sz w:val="24"/>
          <w:sz-cs w:val="24"/>
        </w:rPr>
        <w:t xml:space="preserve">* Direct Website / Mobile</w:t>
      </w:r>
    </w:p>
    <w:p>
      <w:pPr/>
      <w:r>
        <w:rPr>
          <w:rFonts w:ascii="Helvetica Light" w:hAnsi="Helvetica Light" w:cs="Helvetica Light"/>
          <w:sz w:val="24"/>
          <w:sz-cs w:val="24"/>
        </w:rPr>
        <w:t xml:space="preserve">* Offline Travel Agents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Location Setting* Urban</w:t>
      </w:r>
    </w:p>
    <w:p>
      <w:pPr/>
      <w:r>
        <w:rPr>
          <w:rFonts w:ascii="Helvetica Light" w:hAnsi="Helvetica Light" w:cs="Helvetica Light"/>
          <w:sz w:val="24"/>
          <w:sz-cs w:val="24"/>
        </w:rPr>
        <w:t xml:space="preserve">* Suburban</w:t>
      </w:r>
    </w:p>
    <w:p>
      <w:pPr/>
      <w:r>
        <w:rPr>
          <w:rFonts w:ascii="Helvetica Light" w:hAnsi="Helvetica Light" w:cs="Helvetica Light"/>
          <w:sz w:val="24"/>
          <w:sz-cs w:val="24"/>
        </w:rPr>
        <w:t xml:space="preserve">* Rural</w:t>
      </w:r>
    </w:p>
    <w:p>
      <w:pPr/>
      <w:r>
        <w:rPr>
          <w:rFonts w:ascii="Helvetica Light" w:hAnsi="Helvetica Light" w:cs="Helvetica Light"/>
          <w:sz w:val="24"/>
          <w:sz-cs w:val="24"/>
        </w:rPr>
        <w:t xml:space="preserve">* Coastal / Island</w:t>
      </w:r>
    </w:p>
    <w:p>
      <w:pPr/>
      <w:r>
        <w:rPr>
          <w:rFonts w:ascii="Helvetica Light" w:hAnsi="Helvetica Light" w:cs="Helvetica Light"/>
          <w:sz w:val="24"/>
          <w:sz-cs w:val="24"/>
        </w:rPr>
        <w:t xml:space="preserve">* Heritage / Historic Towns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Ownership Model* Independent</w:t>
      </w:r>
    </w:p>
    <w:p>
      <w:pPr/>
      <w:r>
        <w:rPr>
          <w:rFonts w:ascii="Helvetica Light" w:hAnsi="Helvetica Light" w:cs="Helvetica Light"/>
          <w:sz w:val="24"/>
          <w:sz-cs w:val="24"/>
        </w:rPr>
        <w:t xml:space="preserve">* Franchise / Affiliated</w:t>
      </w:r>
    </w:p>
    <w:p>
      <w:pPr/>
      <w:r>
        <w:rPr>
          <w:rFonts w:ascii="Helvetica Light" w:hAnsi="Helvetica Light" w:cs="Helvetica Light"/>
          <w:sz w:val="24"/>
          <w:sz-cs w:val="24"/>
        </w:rPr>
        <w:t xml:space="preserve">* Cooperative / Consortium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global bed and breakfast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reached USD 33.75 billion in 2026 and is forecast to grow to USD 42.99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 in the bed and breakfast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quickest growth, registering an 8.45% CAGR through 2031, driven by rising domestic travel in India and gradual reopening in China.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accommodation type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Boutique and heritage inns lead the segment with 31.62% revenue share, owing to traveler demand for authentic, culturally immersive stays.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booking channels changing for B&amp;B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agencies still dominate but direct website bookings are rising at 12.3% CAGR, helped by mobile apps and lower acquisition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challenges face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zoning limits and principal-residence rules in markets such as British Columbia and Scotland impose compliance costs and restrict new urban inventory.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