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Beverage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End-Use &amp; Specialty Packaging (Packaging)  </w:t>
      </w:r>
    </w:p>
    <w:p>
      <w:pPr/>
      <w:r>
        <w:rPr>
          <w:rFonts w:ascii="Helvetica Light" w:hAnsi="Helvetica Light" w:cs="Helvetica Light"/>
          <w:sz w:val="24"/>
          <w:sz-cs w:val="24"/>
        </w:rPr>
        <w:t xml:space="preserve">&gt; **Source:** [https://www.mordorintelligence.com/industry-reports/beverage-packaging-market](https://www.mordorintelligence.com/industry-reports/beverage-packaging-market)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169.58 billion |</w:t>
      </w:r>
    </w:p>
    <w:p>
      <w:pPr/>
      <w:r>
        <w:rPr>
          <w:rFonts w:ascii="Helvetica Light" w:hAnsi="Helvetica Light" w:cs="Helvetica Light"/>
          <w:sz w:val="24"/>
          <w:sz-cs w:val="24"/>
        </w:rPr>
        <w:t xml:space="preserve">| **Projected Forecast (2031)** | USD 169.58 billion |</w:t>
      </w:r>
    </w:p>
    <w:p>
      <w:pPr/>
      <w:r>
        <w:rPr>
          <w:rFonts w:ascii="Helvetica Light" w:hAnsi="Helvetica Light" w:cs="Helvetica Light"/>
          <w:sz w:val="24"/>
          <w:sz-cs w:val="24"/>
        </w:rPr>
        <w:t xml:space="preserve">| **Growth Rate (CAGR)** | 3.88 %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Packaging Market: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Packaging Market: Market Share by Packaging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169.58 Billion | </w:t>
      </w:r>
    </w:p>
    <w:p>
      <w:pPr/>
      <w:r>
        <w:rPr>
          <w:rFonts w:ascii="Helvetica Light" w:hAnsi="Helvetica Light" w:cs="Helvetica Light"/>
          <w:sz w:val="24"/>
          <w:sz-cs w:val="24"/>
        </w:rPr>
        <w:t xml:space="preserve">Market Size (2031) | USD 205.17 Billion | </w:t>
      </w:r>
    </w:p>
    <w:p>
      <w:pPr/>
      <w:r>
        <w:rPr>
          <w:rFonts w:ascii="Helvetica Light" w:hAnsi="Helvetica Light" w:cs="Helvetica Light"/>
          <w:sz w:val="24"/>
          <w:sz-cs w:val="24"/>
        </w:rPr>
        <w:t xml:space="preserve">Growth Rate (2026 - 2031) | 3.88 %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Packaging Market Analysis by Mordor IntelligenceThe beverage packaging market size is expected to grow from USD 163.25 billion in 2025 to USD 169.58 billion in 2026 and is forecast to reach USD 205.17 billion by 2031 at 3.88% CAGR over 2026-2031. Growth is propelled by converging global regulations that standardize recycled-content thresholds, while premium ready-to-drink launches and a wave of aluminum-can capacity additions provide parallel demand engines. Packaging suppliers able to navigate recycled-material mandates, cost inflation for virgin resin, and shifting consumer preferences toward low-impact formats are capturing share. Strategic investments in closed-loop recycling, digital watermarking, and e-commerce-ready multipacks are differentiating leaders from laggards. Consolidation—exemplified by the pending Amcor-Berry Global merger—continues to reshape the competitive baseline, creating scale benefits for firms with multi-format portfolios.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plastic maintained 41.30% revenue share in 2025, while paperboard is projected to post a 6.29% CAGR through 2031.</w:t>
      </w:r>
    </w:p>
    <w:p>
      <w:pPr/>
      <w:r>
        <w:rPr>
          <w:rFonts w:ascii="Helvetica Light" w:hAnsi="Helvetica Light" w:cs="Helvetica Light"/>
          <w:sz w:val="24"/>
          <w:sz-cs w:val="24"/>
        </w:rPr>
        <w:t xml:space="preserve">* By product type, bottles led with 37.35% share in 2025; pouches are forecast to grow at a 6.82% CAGR to 2031.</w:t>
      </w:r>
    </w:p>
    <w:p>
      <w:pPr/>
      <w:r>
        <w:rPr>
          <w:rFonts w:ascii="Helvetica Light" w:hAnsi="Helvetica Light" w:cs="Helvetica Light"/>
          <w:sz w:val="24"/>
          <w:sz-cs w:val="24"/>
        </w:rPr>
        <w:t xml:space="preserve">* By packaging format, cold-fill/carbonated solutions contributed 39.25% of 2025 revenue; aseptic formats are expected to advance at a 6.95% CAGR through 2031.</w:t>
      </w:r>
    </w:p>
    <w:p>
      <w:pPr/>
      <w:r>
        <w:rPr>
          <w:rFonts w:ascii="Helvetica Light" w:hAnsi="Helvetica Light" w:cs="Helvetica Light"/>
          <w:sz w:val="24"/>
          <w:sz-cs w:val="24"/>
        </w:rPr>
        <w:t xml:space="preserve">* By beverage type, carbonated drinks held 30.35% of 2025 revenue, whereas plant-based drinks are on track for an 7.55% CAGR to 2031.</w:t>
      </w:r>
    </w:p>
    <w:p>
      <w:pPr/>
      <w:r>
        <w:rPr>
          <w:rFonts w:ascii="Helvetica Light" w:hAnsi="Helvetica Light" w:cs="Helvetica Light"/>
          <w:sz w:val="24"/>
          <w:sz-cs w:val="24"/>
        </w:rPr>
        <w:t xml:space="preserve">* By geography, North America commanded 26.60% of 2025 revenue; Asia-Pacific is projected to expand at a 5.32%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Beverage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Premiumisation in ready-to-drink (RTD) beverages | +0.8% | Global, with concentration in North America &amp; Europe | Medium term (2-4 years) | </w:t>
      </w:r>
    </w:p>
    <w:p>
      <w:pPr/>
      <w:r>
        <w:rPr>
          <w:rFonts w:ascii="Helvetica Light" w:hAnsi="Helvetica Light" w:cs="Helvetica Light"/>
          <w:sz w:val="24"/>
          <w:sz-cs w:val="24"/>
        </w:rPr>
        <w:t xml:space="preserve">Surge in aluminium-can capacity expansions | +0.6% | Global, led by North America and Asia-Pacific | Short term (≤ 2 years) | </w:t>
      </w:r>
    </w:p>
    <w:p>
      <w:pPr/>
      <w:r>
        <w:rPr>
          <w:rFonts w:ascii="Helvetica Light" w:hAnsi="Helvetica Light" w:cs="Helvetica Light"/>
          <w:sz w:val="24"/>
          <w:sz-cs w:val="24"/>
        </w:rPr>
        <w:t xml:space="preserve">PET lightweighting and tethered-cap regulations | +0.4% | Europe primary, spillover to North America and Asia-Pacific | Medium term (2-4 years) | </w:t>
      </w:r>
    </w:p>
    <w:p>
      <w:pPr/>
      <w:r>
        <w:rPr>
          <w:rFonts w:ascii="Helvetica Light" w:hAnsi="Helvetica Light" w:cs="Helvetica Light"/>
          <w:sz w:val="24"/>
          <w:sz-cs w:val="24"/>
        </w:rPr>
        <w:t xml:space="preserve">Growth of e-commerce multipacks (mainly alcohol) | +0.3% | North America &amp; Europe core, expanding to Asia-Pacific | Long term (≥ 4 years) | </w:t>
      </w:r>
    </w:p>
    <w:p>
      <w:pPr/>
      <w:r>
        <w:rPr>
          <w:rFonts w:ascii="Helvetica Light" w:hAnsi="Helvetica Light" w:cs="Helvetica Light"/>
          <w:sz w:val="24"/>
          <w:sz-cs w:val="24"/>
        </w:rPr>
        <w:t xml:space="preserve">Rise of digital watermarks for circularity | +0.2% | Europe leading, North America following | Long term (≥ 4 years) | </w:t>
      </w:r>
    </w:p>
    <w:p>
      <w:pPr/>
      <w:r>
        <w:rPr>
          <w:rFonts w:ascii="Helvetica Light" w:hAnsi="Helvetica Light" w:cs="Helvetica Light"/>
          <w:sz w:val="24"/>
          <w:sz-cs w:val="24"/>
        </w:rPr>
        <w:t xml:space="preserve">Beverage concentrates and "soda-at-home" ecosystems | +0.1% | North America primary, selective global adoption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beverage packaging market exhibits moderate consolidation, with the top ten participants controlling roughly 55% of global revenue. Cross-material players such as Amcor, Ball, Crown, and Tetra Pak leverage scale, technology breadth, and long-standing relationships with brand owners. Material specialists including O-I Glass and Novelis defend niches via technical process leadership and closed-loop service models.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center on acquiring capabilities that accelerate circularity and geographic reach. Amcor’s all-stock merger with Berry Global, cleared in April 2025, unites 400 plants across 140 countries and promises USD 650 million in annual synergies, largely from resin procurement and footprint optimization. Sonoco’s USD 3.9 billion purchase of Eviosys positions the firm as the largest global metal food and aerosol can supplier, creating cross-selling opportunities into beverages. Ball’s 2024 purchase of European can maker Alucan expands its continental footprint amid rising demand for sustainable aluminum formats.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Innovation pipelines differentiate leaders. PepsiCo’s patent for ingredient-chamber cans points to customizable beverage systems that may displace post-mix fountains in esports arenas. Tetra Pak’s digital-engagement platform connects QR-coded cartons to consumer recycling guides and loyalty apps. Digital watermark pilots in partnership with Digimarc allow brand owners to track individual packs’ end-of-life destination, a credential increasingly valued by investors. Collectively, these moves tighten switching costs for beverage companies and raise the barrier to entry for newcomers lacking integrated material and data capabilities.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Packaging Industry Leaders* O-I Glass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Tetra Laval International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Ball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Ardagh Group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is defined as packaging used to contain, protect, and distribute beverages across major materials and formats, measured in value terms at a global level. It includes common pack forms used for alcoholic and non-alcoholic beverages where packaging is purchased for commercial beverage packing and sale.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Excludes secondary packaging (such as outer corrugated shippers), beverage processing equipment, and packaging used only for non-beverage foods.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Plastic</w:t>
      </w:r>
    </w:p>
    <w:p>
      <w:pPr/>
      <w:r>
        <w:rPr>
          <w:rFonts w:ascii="Helvetica Light" w:hAnsi="Helvetica Light" w:cs="Helvetica Light"/>
          <w:sz w:val="24"/>
          <w:sz-cs w:val="24"/>
        </w:rPr>
        <w:t xml:space="preserve">* Metal</w:t>
      </w:r>
    </w:p>
    <w:p>
      <w:pPr/>
      <w:r>
        <w:rPr>
          <w:rFonts w:ascii="Helvetica Light" w:hAnsi="Helvetica Light" w:cs="Helvetica Light"/>
          <w:sz w:val="24"/>
          <w:sz-cs w:val="24"/>
        </w:rPr>
        <w:t xml:space="preserve">* Glass</w:t>
      </w:r>
    </w:p>
    <w:p>
      <w:pPr/>
      <w:r>
        <w:rPr>
          <w:rFonts w:ascii="Helvetica Light" w:hAnsi="Helvetica Light" w:cs="Helvetica Light"/>
          <w:sz w:val="24"/>
          <w:sz-cs w:val="24"/>
        </w:rPr>
        <w:t xml:space="preserve">* Paperboard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Bottles</w:t>
      </w:r>
    </w:p>
    <w:p>
      <w:pPr/>
      <w:r>
        <w:rPr>
          <w:rFonts w:ascii="Helvetica Light" w:hAnsi="Helvetica Light" w:cs="Helvetica Light"/>
          <w:sz w:val="24"/>
          <w:sz-cs w:val="24"/>
        </w:rPr>
        <w:t xml:space="preserve">* Cans</w:t>
      </w:r>
    </w:p>
    <w:p>
      <w:pPr/>
      <w:r>
        <w:rPr>
          <w:rFonts w:ascii="Helvetica Light" w:hAnsi="Helvetica Light" w:cs="Helvetica Light"/>
          <w:sz w:val="24"/>
          <w:sz-cs w:val="24"/>
        </w:rPr>
        <w:t xml:space="preserve">* Pouches</w:t>
      </w:r>
    </w:p>
    <w:p>
      <w:pPr/>
      <w:r>
        <w:rPr>
          <w:rFonts w:ascii="Helvetica Light" w:hAnsi="Helvetica Light" w:cs="Helvetica Light"/>
          <w:sz w:val="24"/>
          <w:sz-cs w:val="24"/>
        </w:rPr>
        <w:t xml:space="preserve">* Cartons</w:t>
      </w:r>
    </w:p>
    <w:p>
      <w:pPr/>
      <w:r>
        <w:rPr>
          <w:rFonts w:ascii="Helvetica Light" w:hAnsi="Helvetica Light" w:cs="Helvetica Light"/>
          <w:sz w:val="24"/>
          <w:sz-cs w:val="24"/>
        </w:rPr>
        <w:t xml:space="preserve">* Beer Kegs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Aseptic</w:t>
      </w:r>
    </w:p>
    <w:p>
      <w:pPr/>
      <w:r>
        <w:rPr>
          <w:rFonts w:ascii="Helvetica Light" w:hAnsi="Helvetica Light" w:cs="Helvetica Light"/>
          <w:sz w:val="24"/>
          <w:sz-cs w:val="24"/>
        </w:rPr>
        <w:t xml:space="preserve">* Hot-Fill</w:t>
      </w:r>
    </w:p>
    <w:p>
      <w:pPr/>
      <w:r>
        <w:rPr>
          <w:rFonts w:ascii="Helvetica Light" w:hAnsi="Helvetica Light" w:cs="Helvetica Light"/>
          <w:sz w:val="24"/>
          <w:sz-cs w:val="24"/>
        </w:rPr>
        <w:t xml:space="preserve">* Cold-Fill/Carbonated</w:t>
      </w:r>
    </w:p>
    <w:p>
      <w:pPr/>
      <w:r>
        <w:rPr>
          <w:rFonts w:ascii="Helvetica Light" w:hAnsi="Helvetica Light" w:cs="Helvetica Light"/>
          <w:sz w:val="24"/>
          <w:sz-cs w:val="24"/>
        </w:rPr>
        <w:t xml:space="preserve">* Retortable</w:t>
      </w:r>
    </w:p>
    <w:p>
      <w:pPr/>
      <w:r>
        <w:rPr>
          <w:rFonts w:ascii="Helvetica Light" w:hAnsi="Helvetica Light" w:cs="Helvetica Light"/>
          <w:sz w:val="24"/>
          <w:sz-cs w:val="24"/>
        </w:rPr>
        <w:t xml:space="preserve">* Shelf-Stable Ambient</w:t>
      </w:r>
    </w:p>
    <w:p>
      <w:pPr/>
      <w:r>
        <w:rPr>
          <w:rFonts w:ascii="Helvetica Light" w:hAnsi="Helvetica Light" w:cs="Helvetica Light"/>
          <w:sz w:val="24"/>
          <w:sz-cs w:val="24"/>
        </w:rPr>
        <w:t xml:space="preserve">* Chilled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Beverage Type* Carbonated Drinks</w:t>
      </w:r>
    </w:p>
    <w:p>
      <w:pPr/>
      <w:r>
        <w:rPr>
          <w:rFonts w:ascii="Helvetica Light" w:hAnsi="Helvetica Light" w:cs="Helvetica Light"/>
          <w:sz w:val="24"/>
          <w:sz-cs w:val="24"/>
        </w:rPr>
        <w:t xml:space="preserve">* Alcoholic Beverages</w:t>
      </w:r>
    </w:p>
    <w:p>
      <w:pPr/>
      <w:r>
        <w:rPr>
          <w:rFonts w:ascii="Helvetica Light" w:hAnsi="Helvetica Light" w:cs="Helvetica Light"/>
          <w:sz w:val="24"/>
          <w:sz-cs w:val="24"/>
        </w:rPr>
        <w:t xml:space="preserve">* Bottled Water</w:t>
      </w:r>
    </w:p>
    <w:p>
      <w:pPr/>
      <w:r>
        <w:rPr>
          <w:rFonts w:ascii="Helvetica Light" w:hAnsi="Helvetica Light" w:cs="Helvetica Light"/>
          <w:sz w:val="24"/>
          <w:sz-cs w:val="24"/>
        </w:rPr>
        <w:t xml:space="preserve">* Milk</w:t>
      </w:r>
    </w:p>
    <w:p>
      <w:pPr/>
      <w:r>
        <w:rPr>
          <w:rFonts w:ascii="Helvetica Light" w:hAnsi="Helvetica Light" w:cs="Helvetica Light"/>
          <w:sz w:val="24"/>
          <w:sz-cs w:val="24"/>
        </w:rPr>
        <w:t xml:space="preserve">* Fruit and Vegetable Juices</w:t>
      </w:r>
    </w:p>
    <w:p>
      <w:pPr/>
      <w:r>
        <w:rPr>
          <w:rFonts w:ascii="Helvetica Light" w:hAnsi="Helvetica Light" w:cs="Helvetica Light"/>
          <w:sz w:val="24"/>
          <w:sz-cs w:val="24"/>
        </w:rPr>
        <w:t xml:space="preserve">* Energy Drinks</w:t>
      </w:r>
    </w:p>
    <w:p>
      <w:pPr/>
      <w:r>
        <w:rPr>
          <w:rFonts w:ascii="Helvetica Light" w:hAnsi="Helvetica Light" w:cs="Helvetica Light"/>
          <w:sz w:val="24"/>
          <w:sz-cs w:val="24"/>
        </w:rPr>
        <w:t xml:space="preserve">* Plant-based Drinks</w:t>
      </w:r>
    </w:p>
    <w:p>
      <w:pPr/>
      <w:r>
        <w:rPr>
          <w:rFonts w:ascii="Helvetica Light" w:hAnsi="Helvetica Light" w:cs="Helvetica Light"/>
          <w:sz w:val="24"/>
          <w:sz-cs w:val="24"/>
        </w:rPr>
        <w:t xml:space="preserve">* Other Beverage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Austria</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beverage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beverage packaging market was valued at USD 169.58 billion in 2026 and is projected to reach USD 205.17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Paperboard leads growth with a projected 6.29% CAGR through 2031 as brands shift toward renewable and easily recyclable substrates.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aluminum cans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Aluminum offers closed-loop recyclability rates above 70% and benefits from large capacity additions by Ball and Novelis, making it a favored alternative to single-use 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EU regulations affect global packaging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 PPWR requires all packaging to be recyclable by 2028 and sets rPET content thresholds, influencing global brand specifications and accelerating design-for-recycling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deliver the highest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expand at a 5.32% CAGR to 2031, supported by urbanization, rising incomes, and aggressive sustainability mandates such as India's 30% rPET requirement.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strategic moves dominate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Mergers like Amcor-Berry and Sonoco-Eviosys, alongside capacity investments in aluminum and glass decarbonization, illustrate a pivot toward scale, circularity, and premiumization.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