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Buy Now Pay Later Services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FinTech, Neobanks &amp; Digital Banking (Financial Services &amp; Investment Intelligence)  </w:t>
      </w:r>
    </w:p>
    <w:p>
      <w:pPr/>
      <w:r>
        <w:rPr>
          <w:rFonts w:ascii="Helvetica Light" w:hAnsi="Helvetica Light" w:cs="Helvetica Light"/>
          <w:sz w:val="24"/>
          <w:sz-cs w:val="24"/>
        </w:rPr>
        <w:t xml:space="preserve">&gt; **Source:** [https://www.mordorintelligence.com/industry-reports/buy-now-pay-later-services-market](https://www.mordorintelligence.com/industry-reports/buy-now-pay-later-services-market)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0.75 trillion |</w:t>
      </w:r>
    </w:p>
    <w:p>
      <w:pPr/>
      <w:r>
        <w:rPr>
          <w:rFonts w:ascii="Helvetica Light" w:hAnsi="Helvetica Light" w:cs="Helvetica Light"/>
          <w:sz w:val="24"/>
          <w:sz-cs w:val="24"/>
        </w:rPr>
        <w:t xml:space="preserve">| **Projected Forecast (2031)** | USD 0.75 trillion |</w:t>
      </w:r>
    </w:p>
    <w:p>
      <w:pPr/>
      <w:r>
        <w:rPr>
          <w:rFonts w:ascii="Helvetica Light" w:hAnsi="Helvetica Light" w:cs="Helvetica Light"/>
          <w:sz w:val="24"/>
          <w:sz-cs w:val="24"/>
        </w:rPr>
        <w:t xml:space="preserve">| **Growth Rate (CAGR)** | 16.76 %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Buy Now Pay Later Services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![Buy Now Pay Later Services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![Buy Now Pay Later Services Market: Market Share by Channel](images/chart_4.png)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![Buy Now Pay Later Services Market: Market Share by Age Group](images/chart_5.png)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![Buy Now Pay Later Services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![Affirm, Inc., Afterpay, PayPal Holdings, Inc., Klarna Inc., Sezzle, Splitit, Perpay Inc, Openpay,  Quadpay, Inc., LatitudePay](images/chart_7.png)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0.75 Trillion | </w:t>
      </w:r>
    </w:p>
    <w:p>
      <w:pPr/>
      <w:r>
        <w:rPr>
          <w:rFonts w:ascii="Helvetica Light" w:hAnsi="Helvetica Light" w:cs="Helvetica Light"/>
          <w:sz w:val="24"/>
          <w:sz-cs w:val="24"/>
        </w:rPr>
        <w:t xml:space="preserve">Market Size (2031) | USD 1.64 Trillion | </w:t>
      </w:r>
    </w:p>
    <w:p>
      <w:pPr/>
      <w:r>
        <w:rPr>
          <w:rFonts w:ascii="Helvetica Light" w:hAnsi="Helvetica Light" w:cs="Helvetica Light"/>
          <w:sz w:val="24"/>
          <w:sz-cs w:val="24"/>
        </w:rPr>
        <w:t xml:space="preserve">Growth Rate (2026 - 2031) | 16.76 %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Buy Now Pay Later Services Market Analysis by Mordor IntelligenceThe Buy Now Pay Later Services Market size was valued at USD 0.65 trillion in 2025 and is estimated to grow from USD 0.75 trillion in 2026 to reach USD 1.64 trillion by 2031, at a CAGR of 16.76%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Momentum reflects a shift from a niche checkout add-on to a scaled consumer credit utility that merchants use to lift conversion and average order value while keeping user experience simple at checkout. Tighter underwriting and reporting practices introduced in 2025 help stabilize portfolio performance as leading providers scale, while capital-light funding through forward-flow and similar structures strengthens growth capacity in core markets. Network and issuer collaborations extend acceptance to more points of sale beyond merchant-by-merchant onboarding, which supports omnichannel use cases that bring the buy now pay later services market deeper into everyday spending routines. Regulatory clarity is advancing in major jurisdictions, with the United Kingdom implementing full supervision in 2026, which sets consistent affordability checks and redress mechanisms and raises the sector’s baseline for consumer protections.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channel, online led with 68.84% of the buy now pay later services market share in 2025, while point-of-sale is projected to expand at 24.36% CAGR through 2031 within the buy now pay later services market.</w:t>
      </w:r>
    </w:p>
    <w:p>
      <w:pPr/>
      <w:r>
        <w:rPr>
          <w:rFonts w:ascii="Helvetica Light" w:hAnsi="Helvetica Light" w:cs="Helvetica Light"/>
          <w:sz w:val="24"/>
          <w:sz-cs w:val="24"/>
        </w:rPr>
        <w:t xml:space="preserve">* By end-use industry, retail accounted for 70.42% of the buy now pay later services market share in 2025, and healthcare and wellness are forecast to grow at a 21.73% CAGR to 2031 in the buy now pay later services market.</w:t>
      </w:r>
    </w:p>
    <w:p>
      <w:pPr/>
      <w:r>
        <w:rPr>
          <w:rFonts w:ascii="Helvetica Light" w:hAnsi="Helvetica Light" w:cs="Helvetica Light"/>
          <w:sz w:val="24"/>
          <w:sz-cs w:val="24"/>
        </w:rPr>
        <w:t xml:space="preserve">* By age group, Millennials held 46.58% of the buy now pay later services market share in 2025, while Generation Z is expected to post the fastest growth at 24.74% CAGR to 2031.</w:t>
      </w:r>
    </w:p>
    <w:p>
      <w:pPr/>
      <w:r>
        <w:rPr>
          <w:rFonts w:ascii="Helvetica Light" w:hAnsi="Helvetica Light" w:cs="Helvetica Light"/>
          <w:sz w:val="24"/>
          <w:sz-cs w:val="24"/>
        </w:rPr>
        <w:t xml:space="preserve">* By provider, fintechs commanded 58.96% of the buy now pay later services market share in 2025, and banks are projected to grow at a 21.19% CAGR through 2031 in the buy now pay later services market.</w:t>
      </w:r>
    </w:p>
    <w:p>
      <w:pPr/>
      <w:r>
        <w:rPr>
          <w:rFonts w:ascii="Helvetica Light" w:hAnsi="Helvetica Light" w:cs="Helvetica Light"/>
          <w:sz w:val="24"/>
          <w:sz-cs w:val="24"/>
        </w:rPr>
        <w:t xml:space="preserve">* By geography, Asia-Pacific held 35.71% of the BNPL market share in 2025, and it is expected to record the fastest regional growth at 19.48%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Buy Now Pay Later Services Market*Driver | (~) % Impact on CAGR Forecast | Geographic Relevance | Impact Timeline | </w:t>
      </w:r>
    </w:p>
    <w:p>
      <w:pPr/>
      <w:r>
        <w:rPr>
          <w:rFonts w:ascii="Helvetica Light" w:hAnsi="Helvetica Light" w:cs="Helvetica Light"/>
          <w:sz w:val="24"/>
          <w:sz-cs w:val="24"/>
        </w:rPr>
        <w:t xml:space="preserve">Rapid embedded-checkout adoption boosts BNPL attach rates | +3.2% | Global, with North America and Europe leading in integration density | Short term (≤ 2 years) | </w:t>
      </w:r>
    </w:p>
    <w:p>
      <w:pPr/>
      <w:r>
        <w:rPr>
          <w:rFonts w:ascii="Helvetica Light" w:hAnsi="Helvetica Light" w:cs="Helvetica Light"/>
          <w:sz w:val="24"/>
          <w:sz-cs w:val="24"/>
        </w:rPr>
        <w:t xml:space="preserve">BNPL lifts merchant conversion and AOV at scale | +4.1% | Global, strongest in high-ticket categories (electronics, furniture, fashion) | Medium term (2-4 years) | </w:t>
      </w:r>
    </w:p>
    <w:p>
      <w:pPr/>
      <w:r>
        <w:rPr>
          <w:rFonts w:ascii="Helvetica Light" w:hAnsi="Helvetica Light" w:cs="Helvetica Light"/>
          <w:sz w:val="24"/>
          <w:sz-cs w:val="24"/>
        </w:rPr>
        <w:t xml:space="preserve">Omnichannel expansion (virtual cards, tokens) extends in-store reach | +2.8% | Asia-Pacific core, spillover to North America and Europe | Medium term (2-4 years) | </w:t>
      </w:r>
    </w:p>
    <w:p>
      <w:pPr/>
      <w:r>
        <w:rPr>
          <w:rFonts w:ascii="Helvetica Light" w:hAnsi="Helvetica Light" w:cs="Helvetica Light"/>
          <w:sz w:val="24"/>
          <w:sz-cs w:val="24"/>
        </w:rPr>
        <w:t xml:space="preserve">Sharper underwriting lowers loss rates without throttling growth | +2.3% | North America, Europe, Australia | Medium term (2-4 years) | </w:t>
      </w:r>
    </w:p>
    <w:p>
      <w:pPr/>
      <w:r>
        <w:rPr>
          <w:rFonts w:ascii="Helvetica Light" w:hAnsi="Helvetica Light" w:cs="Helvetica Light"/>
          <w:sz w:val="24"/>
          <w:sz-cs w:val="24"/>
        </w:rPr>
        <w:t xml:space="preserve">Private credit, forward-flow, and securitization reopen funding capacity | +3.6% | Global, concentrated in the United States, the United Kingdom, and Germany | Long term (≥ 4 years) | </w:t>
      </w:r>
    </w:p>
    <w:p>
      <w:pPr/>
      <w:r>
        <w:rPr>
          <w:rFonts w:ascii="Helvetica Light" w:hAnsi="Helvetica Light" w:cs="Helvetica Light"/>
          <w:sz w:val="24"/>
          <w:sz-cs w:val="24"/>
        </w:rPr>
        <w:t xml:space="preserve">Network and issuer partnerships unlock non-integrated acceptance | +2.1% | Global, early gains in the United States, Canada, and select European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buy now pay later services market is moderately fragmented, with a small group of scaled specialists and large banks holding significant shares, but no single dominant leader in 2026. At the top end, leading fintechs account for a large majority of total BNPL lending and continue to expand through merchant integrations, consumer apps, and card-linked experiences. Providers executed large forward-flow and structured finance arrangements in 2025 to increase funding capacity for Pay in 4 receivables and longer-duration products, adding stability to originations. Additional capacity from asset managers and insurers further diversified funding and supported multi-year consumer loan volume plans. Product innovation continues around post-purchase plan creation, contactless in-store acceptance, and banking services inside consumer apps that extend value beyond checkout.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in Q4 2025 and early 2026 focused on omnichannel and international expansion. Providers introduced Tap to Pay across multiple markets to unify online and in-store experiences and enable installment payments at terminals with contactless capabilities. Partnerships with leading merchants and platforms in furniture, fashion, and general retail expanded acceptance and introduced installments to broader customer sets in the United Kingdom and Canada, alongside the United States. Technology investments included agent-friendly payment protocols and peer-to-peer features within consumer apps, which broaden provider roles from payment option to full-service digital banking for everyday spending. As these capabilities come online, providers gain a larger share of wallet in the buy now, pay later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Regulation shapes competitive positioning by setting licensing and consumer protection baselines that favor larger, well-capitalized firms with mature compliance organizations. The United Kingdom’s oversight and Europe’s harmonized rules clear uncertainty and level standards across borders for affordability checks and redress. Funding strength, embedded coverage in merchants and platforms, and robust consumer app engagement will be decisive as banks scale offerings and fintechs deepen omnichannel acceptance. Partnerships that leverage issuer rails and tokenization help all players reach more merchants faster, solidifying the presence of installments in digital and physical checkout flows. With capital programs in place and regulatory pathways clearer, the field remains competitive yet disciplined as it scales responsibly into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Buy Now Pay Later Services Industry Leaders* PayPal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Klarna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Afterpay (Block)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Affirm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Zip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global buy-now-pay-later (BNPL) services market as the total gross merchandise value of consumer purchases settled through short-term, interest-free or low-interest installment plans that are issued at checkout, both online and in store, and settled directly by specialized fintechs or licensed banks. This definition embraces every retail and service vertical, from fashion to elective healthcare, wherever the payment promise is split into four or more scheduled installments.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Exclusions include revolving credit cards, payroll-linked salary advances, traditional installment loans exceeding three years, and pure B2B invoice-financing products, which sit outside our scope.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Channel* Online</w:t>
      </w:r>
    </w:p>
    <w:p>
      <w:pPr/>
      <w:r>
        <w:rPr>
          <w:rFonts w:ascii="Helvetica Light" w:hAnsi="Helvetica Light" w:cs="Helvetica Light"/>
          <w:sz w:val="24"/>
          <w:sz-cs w:val="24"/>
        </w:rPr>
        <w:t xml:space="preserve">* Point-of-Sale (In-store)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Consumer Electronics</w:t>
      </w:r>
    </w:p>
    <w:p>
      <w:pPr/>
      <w:r>
        <w:rPr>
          <w:rFonts w:ascii="Helvetica Light" w:hAnsi="Helvetica Light" w:cs="Helvetica Light"/>
          <w:sz w:val="24"/>
          <w:sz-cs w:val="24"/>
        </w:rPr>
        <w:t xml:space="preserve">* Fashion &amp; Apparel</w:t>
      </w:r>
    </w:p>
    <w:p>
      <w:pPr/>
      <w:r>
        <w:rPr>
          <w:rFonts w:ascii="Helvetica Light" w:hAnsi="Helvetica Light" w:cs="Helvetica Light"/>
          <w:sz w:val="24"/>
          <w:sz-cs w:val="24"/>
        </w:rPr>
        <w:t xml:space="preserve">* Healthcare &amp; Wellness</w:t>
      </w:r>
    </w:p>
    <w:p>
      <w:pPr/>
      <w:r>
        <w:rPr>
          <w:rFonts w:ascii="Helvetica Light" w:hAnsi="Helvetica Light" w:cs="Helvetica Light"/>
          <w:sz w:val="24"/>
          <w:sz-cs w:val="24"/>
        </w:rPr>
        <w:t xml:space="preserve">* Home Improvement</w:t>
      </w:r>
    </w:p>
    <w:p>
      <w:pPr/>
      <w:r>
        <w:rPr>
          <w:rFonts w:ascii="Helvetica Light" w:hAnsi="Helvetica Light" w:cs="Helvetica Light"/>
          <w:sz w:val="24"/>
          <w:sz-cs w:val="24"/>
        </w:rPr>
        <w:t xml:space="preserve">* Travel &amp; Leisure</w:t>
      </w:r>
    </w:p>
    <w:p>
      <w:pPr/>
      <w:r>
        <w:rPr>
          <w:rFonts w:ascii="Helvetica Light" w:hAnsi="Helvetica Light" w:cs="Helvetica Light"/>
          <w:sz w:val="24"/>
          <w:sz-cs w:val="24"/>
        </w:rPr>
        <w:t xml:space="preserve">* Media &amp; Entertainment</w:t>
      </w:r>
    </w:p>
    <w:p>
      <w:pPr/>
      <w:r>
        <w:rPr>
          <w:rFonts w:ascii="Helvetica Light" w:hAnsi="Helvetica Light" w:cs="Helvetica Light"/>
          <w:sz w:val="24"/>
          <w:sz-cs w:val="24"/>
        </w:rPr>
        <w:t xml:space="preserve">* Other End-Use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Age Group* Generation Z (18-28 Years)</w:t>
      </w:r>
    </w:p>
    <w:p>
      <w:pPr/>
      <w:r>
        <w:rPr>
          <w:rFonts w:ascii="Helvetica Light" w:hAnsi="Helvetica Light" w:cs="Helvetica Light"/>
          <w:sz w:val="24"/>
          <w:sz-cs w:val="24"/>
        </w:rPr>
        <w:t xml:space="preserve">* Millennials (29-44 Years)</w:t>
      </w:r>
    </w:p>
    <w:p>
      <w:pPr/>
      <w:r>
        <w:rPr>
          <w:rFonts w:ascii="Helvetica Light" w:hAnsi="Helvetica Light" w:cs="Helvetica Light"/>
          <w:sz w:val="24"/>
          <w:sz-cs w:val="24"/>
        </w:rPr>
        <w:t xml:space="preserve">* Generation X (45-60 Years)</w:t>
      </w:r>
    </w:p>
    <w:p>
      <w:pPr/>
      <w:r>
        <w:rPr>
          <w:rFonts w:ascii="Helvetica Light" w:hAnsi="Helvetica Light" w:cs="Helvetica Light"/>
          <w:sz w:val="24"/>
          <w:sz-cs w:val="24"/>
        </w:rPr>
        <w:t xml:space="preserve">* Baby Boomers (61-79 Years)</w:t>
      </w:r>
    </w:p>
    <w:p>
      <w:pPr/>
      <w:r>
        <w:rPr>
          <w:rFonts w:ascii="Helvetica Light" w:hAnsi="Helvetica Light" w:cs="Helvetica Light"/>
          <w:sz w:val="24"/>
          <w:sz-cs w:val="24"/>
        </w:rPr>
        <w:t xml:space="preserve">* Silent Generation (80 Years and Above)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Provider* Fintechs</w:t>
      </w:r>
    </w:p>
    <w:p>
      <w:pPr/>
      <w:r>
        <w:rPr>
          <w:rFonts w:ascii="Helvetica Light" w:hAnsi="Helvetica Light" w:cs="Helvetica Light"/>
          <w:sz w:val="24"/>
          <w:sz-cs w:val="24"/>
        </w:rPr>
        <w:t xml:space="preserve">* Banks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(Sweden, Norway, Denmark, Finland, and Iceland)</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South-East Asia (Singapore, Indonesia, Malaysia, Thailand,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global size and growth outlook for the buy now pay later services market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buy now pay later services market size is USD 0.65 trillion in 2025, USD 0.75 trillion in 2026, and is forecast to reach USD 1.64 trillion by 2031 at 16.76%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adoption and growth in the buy now, pay later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35.71% share in 2025 and is expected to grow at 19.48% CAGR through 2031, supported by mobile-first payments and super-app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are driving growth in the buy now, pay later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holds 68.84% share in 2025, while point-of-sale is projected to grow at 24.36% CAGR to 2031 as contactless features and virtual cards extend in-store reach.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most influential provider groups in the buy now, pay later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Fintechs hold a 58.96% share in 2025, while banks are the fastest-growing provider cohort at 21.19% CAGR as they embed installments in card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 category is growing fastest in the buy now, pay later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and wellness are projected to grow at a 21.73% CAGR through 2031 as essential services use cases expand alongside retail's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regulation affect the buy now, pay later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United Kingdom, EU, and Australia frameworks increase compliance costs and require affordability checks, which may slow marginal approvals near term but improve long-run sustainability.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