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Captive Insurance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Insurance &amp; InsurTech (Financial Services &amp; Investment Intelligence)  </w:t>
      </w:r>
    </w:p>
    <w:p>
      <w:pPr/>
      <w:r>
        <w:rPr>
          <w:rFonts w:ascii="Helvetica Light" w:hAnsi="Helvetica Light" w:cs="Helvetica Light"/>
          <w:sz w:val="24"/>
          <w:sz-cs w:val="24"/>
        </w:rPr>
        <w:t xml:space="preserve">&gt; **Source:** [https://www.mordorintelligence.com/industry-reports/captive-insurance-market](https://www.mordorintelligence.com/industry-reports/captive-insurance-market)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258.20 billion |</w:t>
      </w:r>
    </w:p>
    <w:p>
      <w:pPr/>
      <w:r>
        <w:rPr>
          <w:rFonts w:ascii="Helvetica Light" w:hAnsi="Helvetica Light" w:cs="Helvetica Light"/>
          <w:sz w:val="24"/>
          <w:sz-cs w:val="24"/>
        </w:rPr>
        <w:t xml:space="preserve">| **Projected Forecast (2031)** | USD 258.20 billion |</w:t>
      </w:r>
    </w:p>
    <w:p>
      <w:pPr/>
      <w:r>
        <w:rPr>
          <w:rFonts w:ascii="Helvetica Light" w:hAnsi="Helvetica Light" w:cs="Helvetica Light"/>
          <w:sz w:val="24"/>
          <w:sz-cs w:val="24"/>
        </w:rPr>
        <w:t xml:space="preserve">| **Growth Rate (CAGR)** | 5.20 %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Captive Insurance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![Captive Insurance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![Captive Insurance Market Share by Captive Core Structure,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![Captive Insurance Market Share by Parent  Insured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![Captive Insurance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![Captive Insurance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258.20 Billion | </w:t>
      </w:r>
    </w:p>
    <w:p>
      <w:pPr/>
      <w:r>
        <w:rPr>
          <w:rFonts w:ascii="Helvetica Light" w:hAnsi="Helvetica Light" w:cs="Helvetica Light"/>
          <w:sz w:val="24"/>
          <w:sz-cs w:val="24"/>
        </w:rPr>
        <w:t xml:space="preserve">Market Size (2031) | USD 332.70 Billion | </w:t>
      </w:r>
    </w:p>
    <w:p>
      <w:pPr/>
      <w:r>
        <w:rPr>
          <w:rFonts w:ascii="Helvetica Light" w:hAnsi="Helvetica Light" w:cs="Helvetica Light"/>
          <w:sz w:val="24"/>
          <w:sz-cs w:val="24"/>
        </w:rPr>
        <w:t xml:space="preserve">Growth Rate (2026 - 2031) | 5.20 %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Captive Insurance Market Analysis by Mordor IntelligenceThe captive insurance market size is projected to expand from USD 240.2 billion in 2025 and USD 258.2 billion in 2026 to USD 332.7 billion by 2031, registering a CAGR of 5.2% between 2026 and 2031. Commercial liability, excess, and specialty insurance remained difficult to place, which kept captive formation relevant for companies facing higher premiums, tighter capacity, and less certainty around the scope of cover available at renewal. Nuclear verdicts and third-party litigation funding continued to increase the cost of liability risks, encouraging companies to retain selected exposures through captive arrangements rather than relying entirely on commercial capacity for those risks. Marsh-managed captives wrote USD 79.1 billion in gross written premium during 2025, while Fortune 500 companies increased captive premium volume by 9%. The captive insurance market is also supported by the continued value of investment income on reserves, access to reinsurance, and the retention of underwriting profit within the parent group when loss experience is managed effectively. These factors support a broader role for captives in enterprise risk planning, even where selected commercial property rates have moderated, because companies can maintain established risk-financing programs across changing insurance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captive core structure, pure and single-parent captives captured 64.7% of the captive insurance market share in 2025, while sponsored and cell captive cores are projected to grow at 8.4% CAGR through 2031.</w:t>
      </w:r>
    </w:p>
    <w:p>
      <w:pPr/>
      <w:r>
        <w:rPr>
          <w:rFonts w:ascii="Helvetica Light" w:hAnsi="Helvetica Light" w:cs="Helvetica Light"/>
          <w:sz w:val="24"/>
          <w:sz-cs w:val="24"/>
        </w:rPr>
        <w:t xml:space="preserve">* By coverage written, property accounted for 24.6% of the captive insurance market size in 2025, while cyber is projected to grow at 10.2% CAGR through 2031.</w:t>
      </w:r>
    </w:p>
    <w:p>
      <w:pPr/>
      <w:r>
        <w:rPr>
          <w:rFonts w:ascii="Helvetica Light" w:hAnsi="Helvetica Light" w:cs="Helvetica Light"/>
          <w:sz w:val="24"/>
          <w:sz-cs w:val="24"/>
        </w:rPr>
        <w:t xml:space="preserve">* By parent or insured industry, financial institutions held 18.2% share of the captive insurance market in 2025, while technology, media, and telecommunications is projected to grow at 8.1% CAGR through 2031.</w:t>
      </w:r>
    </w:p>
    <w:p>
      <w:pPr/>
      <w:r>
        <w:rPr>
          <w:rFonts w:ascii="Helvetica Light" w:hAnsi="Helvetica Light" w:cs="Helvetica Light"/>
          <w:sz w:val="24"/>
          <w:sz-cs w:val="24"/>
        </w:rPr>
        <w:t xml:space="preserve">* By parent scale, large and multinational enterprises captured 72.8% of the captive insurance market size in 2025, while mid-market enterprises are projected to grow at 7.7% CAGR through 2031.</w:t>
      </w:r>
    </w:p>
    <w:p>
      <w:pPr/>
      <w:r>
        <w:rPr>
          <w:rFonts w:ascii="Helvetica Light" w:hAnsi="Helvetica Light" w:cs="Helvetica Light"/>
          <w:sz w:val="24"/>
          <w:sz-cs w:val="24"/>
        </w:rPr>
        <w:t xml:space="preserve">* By geography, North America held 75.4% of the captive insurance marketDriver (~) % Impact on CAGR Forecast Geographic Relevance Impact Timeline</w:t>
      </w:r>
    </w:p>
    <w:p>
      <w:pPr/>
      <w:r>
        <w:rPr>
          <w:rFonts w:ascii="Helvetica Light" w:hAnsi="Helvetica Light" w:cs="Helvetica Light"/>
          <w:sz w:val="24"/>
          <w:sz-cs w:val="24"/>
        </w:rPr>
        <w:t xml:space="preserve">* Commercial Insurance Capacity Constraints and Pricing Volatility +1.8% Global, concentrated in North America and Europe Short term (≤ 2 years)</w:t>
      </w:r>
    </w:p>
    <w:p>
      <w:pPr/>
      <w:r>
        <w:rPr>
          <w:rFonts w:ascii="Helvetica Light" w:hAnsi="Helvetica Light" w:cs="Helvetica Light"/>
          <w:sz w:val="24"/>
          <w:sz-cs w:val="24"/>
        </w:rPr>
        <w:t xml:space="preserve">* Increasing Complexity of Cyber, Climate, and Supply-Chain Risks +1.4% Global Medium term (2-4 years)</w:t>
      </w:r>
    </w:p>
    <w:p>
      <w:pPr/>
      <w:r>
        <w:rPr>
          <w:rFonts w:ascii="Helvetica Light" w:hAnsi="Helvetica Light" w:cs="Helvetica Light"/>
          <w:sz w:val="24"/>
          <w:sz-cs w:val="24"/>
        </w:rPr>
        <w:t xml:space="preserve">* Expansion of Group and Cell Captive Structures +1.0% North America, Asia-Pacific core, spillover to Europe Medium term (2-4 years)</w:t>
      </w:r>
    </w:p>
    <w:p>
      <w:pPr/>
      <w:r>
        <w:rPr>
          <w:rFonts w:ascii="Helvetica Light" w:hAnsi="Helvetica Light" w:cs="Helvetica Light"/>
          <w:sz w:val="24"/>
          <w:sz-cs w:val="24"/>
        </w:rPr>
        <w:t xml:space="preserve">* Rising Employee-Benefit and Medical Stop-Loss Costs +0.8% North America and Europe Medium term (2-4 years)</w:t>
      </w:r>
    </w:p>
    <w:p>
      <w:pPr/>
      <w:r>
        <w:rPr>
          <w:rFonts w:ascii="Helvetica Light" w:hAnsi="Helvetica Light" w:cs="Helvetica Light"/>
          <w:sz w:val="24"/>
          <w:sz-cs w:val="24"/>
        </w:rPr>
        <w:t xml:space="preserve">* Innovation in Captive Fronting, Reinsurance, and Collateral Solutions +0.6% Global Long term (≥ 4 years)</w:t>
      </w:r>
    </w:p>
    <w:p>
      <w:pPr/>
      <w:r>
        <w:rPr>
          <w:rFonts w:ascii="Helvetica Light" w:hAnsi="Helvetica Light" w:cs="Helvetica Light"/>
          <w:sz w:val="24"/>
          <w:sz-cs w:val="24"/>
        </w:rPr>
        <w:t xml:space="preserve">* Growing Adoption of Data-Driven Risk Management and Captive Technology +0.4% Global Long term (≥ 4 years)</w:t>
      </w:r>
    </w:p>
    <w:p>
      <w:pPr/>
      <w:r>
        <w:rPr>
          <w:rFonts w:ascii="Helvetica Light" w:hAnsi="Helvetica Light" w:cs="Helvetica Light"/>
          <w:sz w:val="24"/>
          <w:sz-cs w:val="24"/>
        </w:rPr>
        <w:t xml:space="preserve">* in 2025, while Asia-Pacific is projected to grow at 8.5%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Captive Insurance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Commercial Insurance Capacity Constraints and Pricing Volatility | +1.8% | Global, concentrated in North America and Europe | Short term (≤ 2 years) | </w:t>
      </w:r>
    </w:p>
    <w:p>
      <w:pPr/>
      <w:r>
        <w:rPr>
          <w:rFonts w:ascii="Helvetica Light" w:hAnsi="Helvetica Light" w:cs="Helvetica Light"/>
          <w:sz w:val="24"/>
          <w:sz-cs w:val="24"/>
        </w:rPr>
        <w:t xml:space="preserve">Increasing Complexity of Cyber, Climate, and Supply-Chain Risks | +1.4% | Global | Medium term (2-4 years) | </w:t>
      </w:r>
    </w:p>
    <w:p>
      <w:pPr/>
      <w:r>
        <w:rPr>
          <w:rFonts w:ascii="Helvetica Light" w:hAnsi="Helvetica Light" w:cs="Helvetica Light"/>
          <w:sz w:val="24"/>
          <w:sz-cs w:val="24"/>
        </w:rPr>
        <w:t xml:space="preserve">Expansion of Group and Cell Captive Structures | +1.0% | North America, Asia-Pacific core, spillover to Europe | Medium term (2-4 years) | </w:t>
      </w:r>
    </w:p>
    <w:p>
      <w:pPr/>
      <w:r>
        <w:rPr>
          <w:rFonts w:ascii="Helvetica Light" w:hAnsi="Helvetica Light" w:cs="Helvetica Light"/>
          <w:sz w:val="24"/>
          <w:sz-cs w:val="24"/>
        </w:rPr>
        <w:t xml:space="preserve">Rising Employee-Benefit and Medical Stop-Loss Costs | +0.8% | North America and Europe | Medium term (2-4 years) | </w:t>
      </w:r>
    </w:p>
    <w:p>
      <w:pPr/>
      <w:r>
        <w:rPr>
          <w:rFonts w:ascii="Helvetica Light" w:hAnsi="Helvetica Light" w:cs="Helvetica Light"/>
          <w:sz w:val="24"/>
          <w:sz-cs w:val="24"/>
        </w:rPr>
        <w:t xml:space="preserve">Innovation in Captive Fronting, Reinsurance, and Collateral Solutions | +0.6% | Global | Long term (≥ 4 years) | </w:t>
      </w:r>
    </w:p>
    <w:p>
      <w:pPr/>
      <w:r>
        <w:rPr>
          <w:rFonts w:ascii="Helvetica Light" w:hAnsi="Helvetica Light" w:cs="Helvetica Light"/>
          <w:sz w:val="24"/>
          <w:sz-cs w:val="24"/>
        </w:rPr>
        <w:t xml:space="preserve">Growing Adoption of Data-Driven Risk Management and Captive Technology | +0.4% | Global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captive insurance market is fragmented. Marsh Captive Solutions, Aon Insurance Managers, and Willis Towers Watson manage a substantial share of global premium volume. Marsh managed USD 79.1 billion in gross written premium across 1,500 captives during 2025. Its position is supported by global fronting networks, reinsurance relationships, and proprietary data platforms, which help large captive managers coordinate underwriting, program administration, and capital arrangements for clients operating across several risk classes. Strategic Risk Solutions, Artex Risk Solutions, Hylant Global Captive Solutions, Captive Resources, and USA Risk Group compete through sector knowledge and service models aimed below the Fortune 500 tier.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insurance groups have used acquisitions to add regulatory and mid-market captive management capability. NFP acquired Trinity Risk Advisors in March 2026 and created a property and casualty group captive practice within Aon’s broker network. Gallagher Re proposed shared-limit structures that combine cyber tail risk with uncorrelated property catastrophe exposures. The structure was designed to lower rates online for tail protection. DICEUS partnered with the Vermont Captive Insurance Association in June 2026 to provide members with technology covering policy administration, financials, claims management, reinsurance accounting, and compliance reporting.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becoming a clearer area of competition among captive service providers, particularly where managers seek to improve the timeliness and consistency of administration, financial reporting, and compliance work. Hartwell selected INTX Insurance Software, while the DICEUS partnership focused on digital tools for captive managers. These initiatives address policy administration, reinsurance accounting, and real-time solvency monitoring. Specialist managers continue to compete where clients need industry-specific knowledge or lower-cost structures that reflect the requirements of smaller companies and specialized risk programs, rather than the broad platform services offered by larger global managers. The mix of large global managers and specialist providers is consistent with a moderately concentrated competitive environment in the captive insurance market, because leadership in premium management coexists with active competition in mid-market and specialized client segments where service depth, pricing, and knowledge of particular coverage lines can influence provider selection.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Captive Insurance Industry Leaders* Aon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Marsh McLennan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Strategic Risk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Willis Towers Watson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American International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Captive Insurance Market Report ScopeBy Captive Core StructurePure/Single-Parent Captives | </w:t>
      </w:r>
    </w:p>
    <w:p>
      <w:pPr/>
      <w:r>
        <w:rPr>
          <w:rFonts w:ascii="Helvetica Light" w:hAnsi="Helvetica Light" w:cs="Helvetica Light"/>
          <w:sz w:val="24"/>
          <w:sz-cs w:val="24"/>
        </w:rPr>
        <w:t xml:space="preserve">Group Captives | </w:t>
      </w:r>
    </w:p>
    <w:p>
      <w:pPr/>
      <w:r>
        <w:rPr>
          <w:rFonts w:ascii="Helvetica Light" w:hAnsi="Helvetica Light" w:cs="Helvetica Light"/>
          <w:sz w:val="24"/>
          <w:sz-cs w:val="24"/>
        </w:rPr>
        <w:t xml:space="preserve">Association Captives | </w:t>
      </w:r>
    </w:p>
    <w:p>
      <w:pPr/>
      <w:r>
        <w:rPr>
          <w:rFonts w:ascii="Helvetica Light" w:hAnsi="Helvetica Light" w:cs="Helvetica Light"/>
          <w:sz w:val="24"/>
          <w:sz-cs w:val="24"/>
        </w:rPr>
        <w:t xml:space="preserve">Risk Retention Groups (RRGs) | </w:t>
      </w:r>
    </w:p>
    <w:p>
      <w:pPr/>
      <w:r>
        <w:rPr>
          <w:rFonts w:ascii="Helvetica Light" w:hAnsi="Helvetica Light" w:cs="Helvetica Light"/>
          <w:sz w:val="24"/>
          <w:sz-cs w:val="24"/>
        </w:rPr>
        <w:t xml:space="preserve">Sponsored/Cell Captive Cores | </w:t>
      </w:r>
    </w:p>
    <w:p>
      <w:pPr/>
      <w:r>
        <w:rPr>
          <w:rFonts w:ascii="Helvetica Light" w:hAnsi="Helvetica Light" w:cs="Helvetica Light"/>
          <w:sz w:val="24"/>
          <w:sz-cs w:val="24"/>
        </w:rPr>
        <w:t xml:space="preserve">Other Limited-Purpose Captive Structures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captive insurance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liability costs, capacity constraints, cyber exposure, and employee-benefit risks are increasing interest in risk retention structures. Captives can also give companies more direct control over retained risks, related funding decisions, investment income on reserves, and the use of reinsurance to manage loss volatility.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captive insurance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captive insurance market was valued at USD 258.2 billion in 2026 and is projected to reach USD 332.7 billion by 2031. The forecast represents a CAGR of 5.2% between 2026 and 2031, as companies continue to use captives for a broader range of liability, specialty, property, and employee-benefit exposures.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captive structure has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Pure and single-parent captives held 64.7% share in 2025 because they offer direct governance and underwriting control. These structures also allow large parents to retain investment income on reserves and coordinate risk financing across several coverage lines, domiciles, and operating entities.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coverage line is growing fastest in captive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Cyber is projected to grow at a 10.2% CAGR through 2031, reflecting greater corporate use of captives for cyber risk retention. The growth follows ongoing concerns around restrictive commercial coverage terms and exclusions, as well as cyber exposures that may require customized limits, retentions, and reinsurance support.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captive insurance?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an 8.5% CAGR through 2031, supported by underinsurance and proposed protected cell company rules in Singapore. The region also has significant potential as more companies develop international operations, assess natural catastrophe exposure, and seek alternatives to local commercial coverage constraints.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mid-market companies using captive structures?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Group captives, cell structures, and rent-a-captive platforms can lower entry barriers for companies with annual premium spending from USD 250,000 to USD 1 million. These alternatives can reduce the cost and capital burden associated with standalone captive formation, while allowing participants to access program administration, governance support, and shared reinsurance purchasing arrangements.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