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Casino Gambling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Casino, Gaming &amp; Entertainment (Hospitality &amp; Tourism)  </w:t>
      </w:r>
    </w:p>
    <w:p>
      <w:pPr/>
      <w:r>
        <w:rPr>
          <w:rFonts w:ascii="Helvetica Light" w:hAnsi="Helvetica Light" w:cs="Helvetica Light"/>
          <w:sz w:val="24"/>
          <w:sz-cs w:val="24"/>
        </w:rPr>
        <w:t xml:space="preserve">&gt; **Source:** [https://www.mordorintelligence.com/industry-reports/casino-gambling-market](https://www.mordorintelligence.com/industry-reports/casino-gambling-market)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359.32 Billion |</w:t>
      </w:r>
    </w:p>
    <w:p>
      <w:pPr/>
      <w:r>
        <w:rPr>
          <w:rFonts w:ascii="Helvetica Light" w:hAnsi="Helvetica Light" w:cs="Helvetica Light"/>
          <w:sz w:val="24"/>
          <w:sz-cs w:val="24"/>
        </w:rPr>
        <w:t xml:space="preserve">| **Projected Forecast (2031)** | USD 359.32 Billion |</w:t>
      </w:r>
    </w:p>
    <w:p>
      <w:pPr/>
      <w:r>
        <w:rPr>
          <w:rFonts w:ascii="Helvetica Light" w:hAnsi="Helvetica Light" w:cs="Helvetica Light"/>
          <w:sz w:val="24"/>
          <w:sz-cs w:val="24"/>
        </w:rPr>
        <w:t xml:space="preserve">| **Growth Rate (CAGR)** | 11.67 %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Casino Gambling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Market Share by Game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Market Share by Facility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359.32 Billion | </w:t>
      </w:r>
    </w:p>
    <w:p>
      <w:pPr/>
      <w:r>
        <w:rPr>
          <w:rFonts w:ascii="Helvetica Light" w:hAnsi="Helvetica Light" w:cs="Helvetica Light"/>
          <w:sz w:val="24"/>
          <w:sz-cs w:val="24"/>
        </w:rPr>
        <w:t xml:space="preserve">Market Size (2031) | USD 624.04 Billion | </w:t>
      </w:r>
    </w:p>
    <w:p>
      <w:pPr/>
      <w:r>
        <w:rPr>
          <w:rFonts w:ascii="Helvetica Light" w:hAnsi="Helvetica Light" w:cs="Helvetica Light"/>
          <w:sz w:val="24"/>
          <w:sz-cs w:val="24"/>
        </w:rPr>
        <w:t xml:space="preserve">Growth Rate (2026 - 2031) | 11.67 %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Market Analysis by Mordor IntelligenceThe Casino Gambling Market size was valued at USD 321.77 billion in 2025 and is estimated to grow from USD 359.32 billion in 2026 to reach USD 624.04 billion by 2031, at a CAGR of 11.67%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continue to pivot from VIP-heavy models toward premium-mass and mass-market channels that capture more stable spend through integrated resort formats that combine gaming with hotels, MICE, retail, and entertainment. Product dynamics are shifting as live dealer content grows faster than legacy RNG formats, supported by studio investments and marquee collaborations that stream from iconic properties to elevate authenticity. Regional growth is strongest in Asia-Pacific, where Macau and Singapore anchor recovery, while selective greenfield projects in the Middle East set a new frontier for destination resorts that link gaming with high-end hospitality[1]Source: Macau Gaming Inspection and Coordination Bureau, “Gross Gaming Revenue Statistics,” DICJ, dicj.gov.mo. Competitive positioning favors a balance between on-property experiences and connected digital ecosystems that unify loyalty, payments, and compliance across touchpoints to protect share in the casino gambling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game type, slots held 52.76% of the casino gambling market share in 2025, while live casino gaming is projected to expand at an 11.83% CAGR through 2031. </w:t>
      </w:r>
    </w:p>
    <w:p>
      <w:pPr/>
      <w:r>
        <w:rPr>
          <w:rFonts w:ascii="Helvetica Light" w:hAnsi="Helvetica Light" w:cs="Helvetica Light"/>
          <w:sz w:val="24"/>
          <w:sz-cs w:val="24"/>
        </w:rPr>
        <w:t xml:space="preserve">* By facility format, integrated resort casinos accounted for 47.39% of the casino gambling market share in 2025, while cruise-ship facilities are forecast to grow at a 10.76% CAGR between 2026 and 2031. </w:t>
      </w:r>
    </w:p>
    <w:p>
      <w:pPr/>
      <w:r>
        <w:rPr>
          <w:rFonts w:ascii="Helvetica Light" w:hAnsi="Helvetica Light" w:cs="Helvetica Light"/>
          <w:sz w:val="24"/>
          <w:sz-cs w:val="24"/>
        </w:rPr>
        <w:t xml:space="preserve">* By ownership model, commercial operators captured 61.74% of revenue in 2025, while tribal and indigenous casinos in the United States are projected to grow at a 9.39% CAGR from 2026 to 2031. </w:t>
      </w:r>
    </w:p>
    <w:p>
      <w:pPr/>
      <w:r>
        <w:rPr>
          <w:rFonts w:ascii="Helvetica Light" w:hAnsi="Helvetica Light" w:cs="Helvetica Light"/>
          <w:sz w:val="24"/>
          <w:sz-cs w:val="24"/>
        </w:rPr>
        <w:t xml:space="preserve">* By geography, Asia-Pacific contributed 38.38% of 2025 revenue, while the Middle East and Africa segment is forecast to grow at an 8.39%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Casino Gambling Market*Driver | (~) % Impact on CAGR Forecast | Geographic Relevance | Impact Timeline | </w:t>
      </w:r>
    </w:p>
    <w:p>
      <w:pPr/>
      <w:r>
        <w:rPr>
          <w:rFonts w:ascii="Helvetica Light" w:hAnsi="Helvetica Light" w:cs="Helvetica Light"/>
          <w:sz w:val="24"/>
          <w:sz-cs w:val="24"/>
        </w:rPr>
        <w:t xml:space="preserve">Integrated-resort visitation uplift | 2.1% | Global, strongest in the Asia-Pacific core (Japan, Thailand, Philippines) and Middle East &amp; Africa (UAE, Saudi Arabia) | Medium term (2-4 years) | </w:t>
      </w:r>
    </w:p>
    <w:p>
      <w:pPr/>
      <w:r>
        <w:rPr>
          <w:rFonts w:ascii="Helvetica Light" w:hAnsi="Helvetica Light" w:cs="Helvetica Light"/>
          <w:sz w:val="24"/>
          <w:sz-cs w:val="24"/>
        </w:rPr>
        <w:t xml:space="preserve">Regulatory expansion in the ASIA-PACIFIC | 1.8% | Asia-Pacific core (Japan, Thailand, Philippines, India), spill-over to global operators | Long term (≥ 4 years) | </w:t>
      </w:r>
    </w:p>
    <w:p>
      <w:pPr/>
      <w:r>
        <w:rPr>
          <w:rFonts w:ascii="Helvetica Light" w:hAnsi="Helvetica Light" w:cs="Helvetica Light"/>
          <w:sz w:val="24"/>
          <w:sz-cs w:val="24"/>
        </w:rPr>
        <w:t xml:space="preserve">Post-COVID air-capacity rebound | 1.5% | Global, particularly North America and Europe, recovery corridors | Short term (≤ 2 years) | </w:t>
      </w:r>
    </w:p>
    <w:p>
      <w:pPr/>
      <w:r>
        <w:rPr>
          <w:rFonts w:ascii="Helvetica Light" w:hAnsi="Helvetica Light" w:cs="Helvetica Light"/>
          <w:sz w:val="24"/>
          <w:sz-cs w:val="24"/>
        </w:rPr>
        <w:t xml:space="preserve">Cashless RFID analytics adoption | 1.3% | North America &amp; Europe early-adopter jurisdictions, Asia-Pacific rollout (Macau, Singapore) | Medium term (2-4 years) | </w:t>
      </w:r>
    </w:p>
    <w:p>
      <w:pPr/>
      <w:r>
        <w:rPr>
          <w:rFonts w:ascii="Helvetica Light" w:hAnsi="Helvetica Light" w:cs="Helvetica Light"/>
          <w:sz w:val="24"/>
          <w:sz-cs w:val="24"/>
        </w:rPr>
        <w:t xml:space="preserve">High-net-worth tourism in GCC | 0.9% | Middle East &amp; Africa, with UAE and Saudi Arabia concentration | Medium term (2-4 years) | </w:t>
      </w:r>
    </w:p>
    <w:p>
      <w:pPr/>
      <w:r>
        <w:rPr>
          <w:rFonts w:ascii="Helvetica Light" w:hAnsi="Helvetica Light" w:cs="Helvetica Light"/>
          <w:sz w:val="24"/>
          <w:sz-cs w:val="24"/>
        </w:rPr>
        <w:t xml:space="preserve">Skill-based table variants | 0.6% | Global, with United States and European millennial/Gen Z demographics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land-based operators collectively hold a low-to-mid share of total revenue, while a long tail of regional commercial properties and a large tribal sector accounts for the remainder, which aligns with moderate-to-high concentration without dominance by a single player. Global leaders include Las Vegas Sands, MGM Resorts, Caesars Entertainment, Wynn Resorts, Galaxy Entertainment, Melco Resorts, Genting, SJM Holdings, Crown Resorts, and Hard Rock, with the balance held by regional commercial and tribal properties in the casino gambling market. The competitive focus spans geographic expansion, omnichannel integration, and non-gaming monetization that multiplies per-visitor spend across hotels, retail, dining, and MICE. Online platforms add pressure on brick-and-mortar visitation, which accelerates unified loyalty programs that reward cross-channel play. The casino gambling market rewards operators who build robust data systems, streamline payments, and enhance content variety at scale to raise conversion and retention. Operators with capital, brand depth, and execution discipline maintain a durable edge as policy and technology continue to evolve.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include Osaka IR development through a joint venture that matches local market expertise with global operating experience and capital base. In the UAE, Wynn partners with local developers to align real estate, planning, and regulatory pathways for the first Gulf integrated resort. Omnichannel growth strategies integrate mobile sportsbooks and digital casinos with on-property rewards that unify wallets, access, and status tiers. Technology differentiation includes RFID, computer vision, and dynamic marketing that refine table hold, automate AML tasks, and personalize offers in real time. These programs help reduce leakage to pure-play online platforms and maintain attachment to destination experiences in the casino gambling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Security, talent, and compliance are key execution arenas that influence cost, agility, and brand trust in the casino gambling market. Cyber readiness is a visible priority due to elevated risk across loyalty databases, third-party integrations, and cross-border data flows. Responsible-gaming enhancements continue across markets that link license terms to protection outcomes and transparent reporting. Workforce development includes dealer training pipelines, flexible scheduling, and retention programs to stabilize staffing in tight labor pools. Execution on these fronts underpins long-term share capture and resilience for the casino gambling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Gambling Industry Leaders* Las Vegas Sands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MGM Resorts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Caesars Entertainment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Galaxy Entertainment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Genting Berhad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paid casino gambling activity delivered through casino venues and casino-led gaming formats, and it is sized as the value of gambling revenue generated from casino games and related play.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Lottery, social casino play without wagering, and informal or illegal gambling are excluded where they are not captured as regulated casino gambling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Game Type* Live Casino</w:t>
      </w:r>
    </w:p>
    <w:p>
      <w:pPr/>
      <w:r>
        <w:rPr>
          <w:rFonts w:ascii="Helvetica Light" w:hAnsi="Helvetica Light" w:cs="Helvetica Light"/>
          <w:sz w:val="24"/>
          <w:sz-cs w:val="24"/>
        </w:rPr>
        <w:t xml:space="preserve">* Baccarat</w:t>
      </w:r>
    </w:p>
    <w:p>
      <w:pPr/>
      <w:r>
        <w:rPr>
          <w:rFonts w:ascii="Helvetica Light" w:hAnsi="Helvetica Light" w:cs="Helvetica Light"/>
          <w:sz w:val="24"/>
          <w:sz-cs w:val="24"/>
        </w:rPr>
        <w:t xml:space="preserve">* Blackjack</w:t>
      </w:r>
    </w:p>
    <w:p>
      <w:pPr/>
      <w:r>
        <w:rPr>
          <w:rFonts w:ascii="Helvetica Light" w:hAnsi="Helvetica Light" w:cs="Helvetica Light"/>
          <w:sz w:val="24"/>
          <w:sz-cs w:val="24"/>
        </w:rPr>
        <w:t xml:space="preserve">* Poker</w:t>
      </w:r>
    </w:p>
    <w:p>
      <w:pPr/>
      <w:r>
        <w:rPr>
          <w:rFonts w:ascii="Helvetica Light" w:hAnsi="Helvetica Light" w:cs="Helvetica Light"/>
          <w:sz w:val="24"/>
          <w:sz-cs w:val="24"/>
        </w:rPr>
        <w:t xml:space="preserve">* Slots</w:t>
      </w:r>
    </w:p>
    <w:p>
      <w:pPr/>
      <w:r>
        <w:rPr>
          <w:rFonts w:ascii="Helvetica Light" w:hAnsi="Helvetica Light" w:cs="Helvetica Light"/>
          <w:sz w:val="24"/>
          <w:sz-cs w:val="24"/>
        </w:rPr>
        <w:t xml:space="preserve">* Other Casino Games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Facility Format* Integrated Resort Casinos</w:t>
      </w:r>
    </w:p>
    <w:p>
      <w:pPr/>
      <w:r>
        <w:rPr>
          <w:rFonts w:ascii="Helvetica Light" w:hAnsi="Helvetica Light" w:cs="Helvetica Light"/>
          <w:sz w:val="24"/>
          <w:sz-cs w:val="24"/>
        </w:rPr>
        <w:t xml:space="preserve">* Standalone Land-based Casinos</w:t>
      </w:r>
    </w:p>
    <w:p>
      <w:pPr/>
      <w:r>
        <w:rPr>
          <w:rFonts w:ascii="Helvetica Light" w:hAnsi="Helvetica Light" w:cs="Helvetica Light"/>
          <w:sz w:val="24"/>
          <w:sz-cs w:val="24"/>
        </w:rPr>
        <w:t xml:space="preserve">* Riverboat Casinos</w:t>
      </w:r>
    </w:p>
    <w:p>
      <w:pPr/>
      <w:r>
        <w:rPr>
          <w:rFonts w:ascii="Helvetica Light" w:hAnsi="Helvetica Light" w:cs="Helvetica Light"/>
          <w:sz w:val="24"/>
          <w:sz-cs w:val="24"/>
        </w:rPr>
        <w:t xml:space="preserve">* Cruise Ship Casinos</w:t>
      </w:r>
    </w:p>
    <w:p>
      <w:pPr/>
      <w:r>
        <w:rPr>
          <w:rFonts w:ascii="Helvetica Light" w:hAnsi="Helvetica Light" w:cs="Helvetica Light"/>
          <w:sz w:val="24"/>
          <w:sz-cs w:val="24"/>
        </w:rPr>
        <w:t xml:space="preserve">* Racinos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Structure* Commercial</w:t>
      </w:r>
    </w:p>
    <w:p>
      <w:pPr/>
      <w:r>
        <w:rPr>
          <w:rFonts w:ascii="Helvetica Light" w:hAnsi="Helvetica Light" w:cs="Helvetica Light"/>
          <w:sz w:val="24"/>
          <w:sz-cs w:val="24"/>
        </w:rPr>
        <w:t xml:space="preserve">* Tribal/Indigenous</w:t>
      </w:r>
    </w:p>
    <w:p>
      <w:pPr/>
      <w:r>
        <w:rPr>
          <w:rFonts w:ascii="Helvetica Light" w:hAnsi="Helvetica Light" w:cs="Helvetica Light"/>
          <w:sz w:val="24"/>
          <w:sz-cs w:val="24"/>
        </w:rPr>
        <w:t xml:space="preserve">* State-run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casino gambling market growth outlook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casino gambling market size is USD 359.32 billion in 2026 and is projected to reach USD 624.04 billion by 2031 at an 11.67% CAGR, supported by integrated resorts and omnichannel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driving change in casino gambling?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Slots remain the largest revenue source, while live dealer gaming is expanding at 11.83% CAGR through 2031, lifted by dealer-led authenticity and premium streaming collaborations.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integrated resorts shaping competitive dynamics in casino gambling?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resorts combine gaming with hotels, retail, dining, entertainment, and MICE to raise per-visitor spend and extend average stays, which stabilizes revenue and widens addressable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contribute most to global casino gambling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38.38% share in 2025, anchored by Macau and Singapore, while the Middle East and Africa are the fastest risers into 2031 due to flagship projects in the Gulf.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improving margins and compliance in casino gambling?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RFID, computer vision, and cashless wallets automate AML tasks, improve table hold, and unify loyalty, which raises retention and reduces friction across on-property and digital touchpoints.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taxes and responsible-gaming rules affecting casino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tax rates and tighter RG rules increase costs and shape capital decisions, which drives operators to focus on premium-mass, non-gaming diversification, and stronger compliance systems.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