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Cladding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[https://www.mordorintelligence.com/industry-reports/cladding-market](https://www.mordorintelligence.com/industry-reports/cladding-market)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135.89 billion |</w:t>
      </w:r>
    </w:p>
    <w:p>
      <w:pPr/>
      <w:r>
        <w:rPr>
          <w:rFonts w:ascii="Helvetica Light" w:hAnsi="Helvetica Light" w:cs="Helvetica Light"/>
          <w:sz w:val="24"/>
          <w:sz-cs w:val="24"/>
        </w:rPr>
        <w:t xml:space="preserve">| **Projected Forecast (2031)** | USD 135.89 billion |</w:t>
      </w:r>
    </w:p>
    <w:p>
      <w:pPr/>
      <w:r>
        <w:rPr>
          <w:rFonts w:ascii="Helvetica Light" w:hAnsi="Helvetica Light" w:cs="Helvetica Light"/>
          <w:sz w:val="24"/>
          <w:sz-cs w:val="24"/>
        </w:rPr>
        <w:t xml:space="preserve">| **Growth Rate (CAGR)** | 6.37 %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Cladding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![Cladding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![Cladding Market Share by Material,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![Cladding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![Cladding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![Cladding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135.89 Billion | </w:t>
      </w:r>
    </w:p>
    <w:p>
      <w:pPr/>
      <w:r>
        <w:rPr>
          <w:rFonts w:ascii="Helvetica Light" w:hAnsi="Helvetica Light" w:cs="Helvetica Light"/>
          <w:sz w:val="24"/>
          <w:sz-cs w:val="24"/>
        </w:rPr>
        <w:t xml:space="preserve">Market Size (2031) | USD 185.08 Billion | </w:t>
      </w:r>
    </w:p>
    <w:p>
      <w:pPr/>
      <w:r>
        <w:rPr>
          <w:rFonts w:ascii="Helvetica Light" w:hAnsi="Helvetica Light" w:cs="Helvetica Light"/>
          <w:sz w:val="24"/>
          <w:sz-cs w:val="24"/>
        </w:rPr>
        <w:t xml:space="preserve">Growth Rate (2026 - 2031) | 6.37 %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Cladding Market Analysis by Mordor IntelligenceThe Cladding Market size is expected to increase from USD 127.75 billion in 2025 to USD 135.89 billion in 2026 and reach USD 185.08 billion by 2031, growing at a CAGR of 6.37%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Momentum is building as governments tighten energy-performance codes, insurers press for proven fire resistance, and owners of aging properties shift spending from new builds to façade upgrades. Metal systems still dominate specifications because of durability and high post-consumer recycling rates, yet bio-based solutions are gaining attention as embodied-carbon rules widen. Funding linked to Saudi Arabia’s Vision 2030 pipeline and U.S. Inflation Reduction Act energy-efficiency programs is expanding the addressable base, while rising aluminum and steel premiums continue to squeeze installers’ margins. Digital workflows that connect building-information-modeling (BIM) files directly with panel fabrication are shortening bid-to-field cycles, reinforcing first-mover advantage for suppliers with proprietary configurators.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metal panels held 31.5% of the cladding market share in 2025, whereas wood cladding is forecast to expand at a 6.89% CAGR through 2031. </w:t>
      </w:r>
    </w:p>
    <w:p>
      <w:pPr/>
      <w:r>
        <w:rPr>
          <w:rFonts w:ascii="Helvetica Light" w:hAnsi="Helvetica Light" w:cs="Helvetica Light"/>
          <w:sz w:val="24"/>
          <w:sz-cs w:val="24"/>
        </w:rPr>
        <w:t xml:space="preserve">* By construction type, new construction accounted for 62.3% of the cladding market size in 2025, while renovation is projected to rise at a 6.71% CAGR over 2026-2031. </w:t>
      </w:r>
    </w:p>
    <w:p>
      <w:pPr/>
      <w:r>
        <w:rPr>
          <w:rFonts w:ascii="Helvetica Light" w:hAnsi="Helvetica Light" w:cs="Helvetica Light"/>
          <w:sz w:val="24"/>
          <w:sz-cs w:val="24"/>
        </w:rPr>
        <w:t xml:space="preserve">* By application, commercial buildings led with 53.1% revenue share in 2025; residential is expected to post the fastest 6.68% CAGR to 2031. </w:t>
      </w:r>
    </w:p>
    <w:p>
      <w:pPr/>
      <w:r>
        <w:rPr>
          <w:rFonts w:ascii="Helvetica Light" w:hAnsi="Helvetica Light" w:cs="Helvetica Light"/>
          <w:sz w:val="24"/>
          <w:sz-cs w:val="24"/>
        </w:rPr>
        <w:t xml:space="preserve">* By geography, Asia-Pacific captured 35.9% share of the cladding market size in 2025, whereas the Middle East and Africa region is set to grow at a 7.02%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Cladding Market*Drivers | (~) % IMPACT ON CAGR FORECAST | Geographic Relevance | Impact Timeline | </w:t>
      </w:r>
    </w:p>
    <w:p>
      <w:pPr/>
      <w:r>
        <w:rPr>
          <w:rFonts w:ascii="Helvetica Light" w:hAnsi="Helvetica Light" w:cs="Helvetica Light"/>
          <w:sz w:val="24"/>
          <w:sz-cs w:val="24"/>
        </w:rPr>
        <w:t xml:space="preserve">Energy-efficiency upgrades are increasing demand for insulated cladding and rainscreen systems | +1.8% | Europe, North America, China, Japan, South Korea | Medium term (2–4 years) | </w:t>
      </w:r>
    </w:p>
    <w:p>
      <w:pPr/>
      <w:r>
        <w:rPr>
          <w:rFonts w:ascii="Helvetica Light" w:hAnsi="Helvetica Light" w:cs="Helvetica Light"/>
          <w:sz w:val="24"/>
          <w:sz-cs w:val="24"/>
        </w:rPr>
        <w:t xml:space="preserve">Commercial and high-rise construction growth is boosting exterior-envelope installations | +1.5% | China, India, United Arab Emirates, Saudi Arabia | Short term (≤ 2 years) | </w:t>
      </w:r>
    </w:p>
    <w:p>
      <w:pPr/>
      <w:r>
        <w:rPr>
          <w:rFonts w:ascii="Helvetica Light" w:hAnsi="Helvetica Light" w:cs="Helvetica Light"/>
          <w:sz w:val="24"/>
          <w:sz-cs w:val="24"/>
        </w:rPr>
        <w:t xml:space="preserve">Stricter fire-safety requirements are accelerating the shift to non-combustible cladding materials | +1.3% | United Kingdom, European Union, Australia, Global | Long term (≥ 4 years) | </w:t>
      </w:r>
    </w:p>
    <w:p>
      <w:pPr/>
      <w:r>
        <w:rPr>
          <w:rFonts w:ascii="Helvetica Light" w:hAnsi="Helvetica Light" w:cs="Helvetica Light"/>
          <w:sz w:val="24"/>
          <w:sz-cs w:val="24"/>
        </w:rPr>
        <w:t xml:space="preserve">Rising renovation and retrofit activity driving replacement of aging façades | +1.2% | United States, Canada, Western Europe | Medium term (2–4 years) | </w:t>
      </w:r>
    </w:p>
    <w:p>
      <w:pPr/>
      <w:r>
        <w:rPr>
          <w:rFonts w:ascii="Helvetica Light" w:hAnsi="Helvetica Light" w:cs="Helvetica Light"/>
          <w:sz w:val="24"/>
          <w:sz-cs w:val="24"/>
        </w:rPr>
        <w:t xml:space="preserve">Architectural preference for modern finishes, increasing use of metal, composite, and fiber-cement panels | +0.9% | Urban centers worldwide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ten largest vendors collectively account for a significant share of the cladding market revenue, indicating moderate concentration with robust regional fragmentation. Vertical integration is the primary defense: Kingspan manufactures both insulation cores and finished panels, enabling 48-hour lead times on bespoke orders. Compagnie de Saint-Gobain deepened its Asia-Pacific exposure by purchasing CSR Limited for USD 3.0 billion in 2024, folding fiber-cement and plasterboard into an existing gypsum and glass portfolio. James Hardie’s USD 8.8 billion offer for AZEK in 2025 would create a cross-channel platform spanning fiber-cement siding and polymer-composite decking, giving large builders a single point of contact for entire exterior envelopes.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capability is increasingly the battleground. Arconic and Tata Steel have invested in continuous coil-coating lines that apply fire-retardant and self-cleaning finishes in one pass, trimming downstream labor. Rockwool and Dow are collaborating to embed proprietary insulation cores into metal panels, locking in multi-year supply deals with contractors who prefer single-warranty systems. Digital configurators that plug directly into Revit or Archicad are capturing specification influence early, a shift that rewards firms like Kingspan and Trespa with large libraries of parametric objects.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Chinese challengers such as Guangzhou Xingfa Aluminium and Yaret Industrial Group are exporting aluminum extrusions at 20-30% price discounts, but inconsistent documentation for ISO 13785 fire tests limits acceptance on Grade-A commercial towers. Start-ups in Scandinavia and the U.S. are commercializing bio-based composites that combine flax fibers with mineral binders to meet non-combustibility requirements, yet scaling beyond boutique volumes remains a hurdle. Overall, incumbents that pair in-house testing capacity with diversified material portfolios appear best placed to manage regulatory and raw-material volatility.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Cladding Industry Leaders* Kingspan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Compagnie de Saint-Gobain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Arconic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Etex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Tata Steel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Cladding Market Report ScopeBy MaterialCeramic | </w:t>
      </w:r>
    </w:p>
    <w:p>
      <w:pPr/>
      <w:r>
        <w:rPr>
          <w:rFonts w:ascii="Helvetica Light" w:hAnsi="Helvetica Light" w:cs="Helvetica Light"/>
          <w:sz w:val="24"/>
          <w:sz-cs w:val="24"/>
        </w:rPr>
        <w:t xml:space="preserve">Wood | </w:t>
      </w:r>
    </w:p>
    <w:p>
      <w:pPr/>
      <w:r>
        <w:rPr>
          <w:rFonts w:ascii="Helvetica Light" w:hAnsi="Helvetica Light" w:cs="Helvetica Light"/>
          <w:sz w:val="24"/>
          <w:sz-cs w:val="24"/>
        </w:rPr>
        <w:t xml:space="preserve">Brick and Stone | </w:t>
      </w:r>
    </w:p>
    <w:p>
      <w:pPr/>
      <w:r>
        <w:rPr>
          <w:rFonts w:ascii="Helvetica Light" w:hAnsi="Helvetica Light" w:cs="Helvetica Light"/>
          <w:sz w:val="24"/>
          <w:sz-cs w:val="24"/>
        </w:rPr>
        <w:t xml:space="preserve">Metal | </w:t>
      </w:r>
    </w:p>
    <w:p>
      <w:pPr/>
      <w:r>
        <w:rPr>
          <w:rFonts w:ascii="Helvetica Light" w:hAnsi="Helvetica Light" w:cs="Helvetica Light"/>
          <w:sz w:val="24"/>
          <w:sz-cs w:val="24"/>
        </w:rPr>
        <w:t xml:space="preserve">Others (Stucco, Glass, Fibre Cement, Vinyl)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&amp;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&amp;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great will global cladding demand be by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cladding market size is expected to reach USD 185.08 billion by 2031, reflecting a 6.37%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currently commands the biggest share?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Metal systems led with 31.5% of 2025 revenue due to durability, recyclability, and ready compliance with fire codes.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the surge in façade renovation?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and U.K. regulations now require energy-efficient and non-combustible envelopes on existing stock, while U.S. and Canadian grant programs help owners finance deep retrofits.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aluminum and steel prices such a concern for façade contractors?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Spot premiums rose sharply in 2024-2025, forcing suppliers to shorten bid validity and pass cost risk to project owners.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grow fastest through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are projected to post a 7.02% CAGR, fueled by Saudi Vision 2030 and the UAEs ongoing tourism and logistics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vendors responding to stricter fire tests?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producers invest in ISO 13785-compliant labs and roll out mineral-core panels, while timber specialists apply new flame-retardant coatings that achieve Euroclass B-s1,d0 ratings.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