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Collaborative Robots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Robotics &amp; Emerging 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https://www.mordorintelligence.com/industry-reports/collaborative-robot-market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Collaborative Robots Market Size and ShareMarket OverviewStudy Period | 2020 - 2031 | </w:t>
      </w:r>
    </w:p>
    <w:p>
      <w:pPr/>
      <w:r>
        <w:rPr>
          <w:rFonts w:ascii="Helvetica" w:hAnsi="Helvetica" w:cs="Helvetica"/>
          <w:sz w:val="24"/>
          <w:sz-cs w:val="24"/>
          <w:spacing w:val="0"/>
          <w:color w:val="000000"/>
        </w:rPr>
        <w:t xml:space="preserve">Market Size (2026) | USD 2.28 Billion | </w:t>
      </w:r>
    </w:p>
    <w:p>
      <w:pPr/>
      <w:r>
        <w:rPr>
          <w:rFonts w:ascii="Helvetica" w:hAnsi="Helvetica" w:cs="Helvetica"/>
          <w:sz w:val="24"/>
          <w:sz-cs w:val="24"/>
          <w:spacing w:val="0"/>
          <w:color w:val="000000"/>
        </w:rPr>
        <w:t xml:space="preserve">Market Size (2031) | USD 5.72 Billion | </w:t>
      </w:r>
    </w:p>
    <w:p>
      <w:pPr/>
      <w:r>
        <w:rPr>
          <w:rFonts w:ascii="Helvetica" w:hAnsi="Helvetica" w:cs="Helvetica"/>
          <w:sz w:val="24"/>
          <w:sz-cs w:val="24"/>
          <w:spacing w:val="0"/>
          <w:color w:val="000000"/>
        </w:rPr>
        <w:t xml:space="preserve">Growth Rate (2026 - 2031) | 20.15 %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GeographyNorth America[https://www.mordorintelligence.com/industry-reports/north-america-collaborative-robots-market]</w:t>
      </w:r>
    </w:p>
    <w:p>
      <w:pPr/>
      <w:r>
        <w:rPr>
          <w:rFonts w:ascii="Helvetica" w:hAnsi="Helvetica" w:cs="Helvetica"/>
          <w:sz w:val="24"/>
          <w:sz-cs w:val="24"/>
          <w:spacing w:val="0"/>
          <w:color w:val="000000"/>
        </w:rPr>
        <w:t xml:space="preserve">Collaborative Robots Market Analysis by Mordor IntelligenceThe Collaborative Robots Market size is projected to expand from USD 1.9 billion in 2025 and USD 2.28 billion in 2026 to USD 5.72 billion by 2031, registering a CAGR of 20.15% between 2026 to 2031. Demand accelerates as updated ISO/TS 15066 standards clarify safety requirements, tax incentives lower payback periods, and labor shortages raise the urgency of flexible automation. Manufacturers increasingly deploy cobots to lift productivity rather than replace workers, while maturing software and simplified programming shorten deployment cycles. Growing payload capacities, warehouse automation needs, and widening service-sector use cases strengthen adoption momentum across global value chains. [1]Source: U.S. Department of Commerce, â€œSouth Korea Robotics Industry,â€ trade.gov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payload, sub-5 kg models held 52.40% of the collaborative robot market share in 2025; 10-20 kg units are expanding at a 22.95% CAGR through 2031.</w:t>
      </w:r>
    </w:p>
    <w:p>
      <w:pPr/>
      <w:r>
        <w:rPr>
          <w:rFonts w:ascii="Helvetica" w:hAnsi="Helvetica" w:cs="Helvetica"/>
          <w:sz w:val="24"/>
          <w:sz-cs w:val="24"/>
          <w:spacing w:val="0"/>
          <w:color w:val="000000"/>
        </w:rPr>
        <w:t xml:space="preserve">* By component, hardware accounted for 71.35% of the collaborative robots market size in 2025, though software revenue is growing at 27.15% CAGR.</w:t>
      </w:r>
    </w:p>
    <w:p>
      <w:pPr/>
      <w:r>
        <w:rPr>
          <w:rFonts w:ascii="Helvetica" w:hAnsi="Helvetica" w:cs="Helvetica"/>
          <w:sz w:val="24"/>
          <w:sz-cs w:val="24"/>
          <w:spacing w:val="0"/>
          <w:color w:val="000000"/>
        </w:rPr>
        <w:t xml:space="preserve">* By application, assembly retained 25.60% revenue share in 2025, while palletizing and de-palletizing are advancing at a 24.55% CAGR to 2031.</w:t>
      </w:r>
    </w:p>
    <w:p>
      <w:pPr/>
      <w:r>
        <w:rPr>
          <w:rFonts w:ascii="Helvetica" w:hAnsi="Helvetica" w:cs="Helvetica"/>
          <w:sz w:val="24"/>
          <w:sz-cs w:val="24"/>
          <w:spacing w:val="0"/>
          <w:color w:val="000000"/>
        </w:rPr>
        <w:t xml:space="preserve">* By end-user, automotive captured 30.35% market share in 2025; logistics and e-commerce record the fastest 30.40% CAGR.</w:t>
      </w:r>
    </w:p>
    <w:p>
      <w:pPr/>
      <w:r>
        <w:rPr>
          <w:rFonts w:ascii="Helvetica" w:hAnsi="Helvetica" w:cs="Helvetica"/>
          <w:sz w:val="24"/>
          <w:sz-cs w:val="24"/>
          <w:spacing w:val="0"/>
          <w:color w:val="000000"/>
        </w:rPr>
        <w:t xml:space="preserve">* By Geography, Asia-Pacific commanded 40.55% revenue in 2025, are expanding at a 21.95%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Collaborative Robots Market*Driver | (~) % Impact on CAGR Forecast | Geographic Relevance | Impact Timeline | </w:t>
      </w:r>
    </w:p>
    <w:p>
      <w:pPr/>
      <w:r>
        <w:rPr>
          <w:rFonts w:ascii="Helvetica" w:hAnsi="Helvetica" w:cs="Helvetica"/>
          <w:sz w:val="24"/>
          <w:sz-cs w:val="24"/>
          <w:spacing w:val="0"/>
          <w:color w:val="000000"/>
        </w:rPr>
        <w:t xml:space="preserve">Cost-effective Re-deployment in High-mix Manufacturing | + 3.20% | Europe, North America | Medium term (2-4 years) | </w:t>
      </w:r>
    </w:p>
    <w:p>
      <w:pPr/>
      <w:r>
        <w:rPr>
          <w:rFonts w:ascii="Helvetica" w:hAnsi="Helvetica" w:cs="Helvetica"/>
          <w:sz w:val="24"/>
          <w:sz-cs w:val="24"/>
          <w:spacing w:val="0"/>
          <w:color w:val="000000"/>
        </w:rPr>
        <w:t xml:space="preserve">OEM Push Toward Plug-and-Play Cobots for SMEs | + 4.10% | Global, concentrated in North America | Short term (â‰¤ 2 years) | </w:t>
      </w:r>
    </w:p>
    <w:p>
      <w:pPr/>
      <w:r>
        <w:rPr>
          <w:rFonts w:ascii="Helvetica" w:hAnsi="Helvetica" w:cs="Helvetica"/>
          <w:sz w:val="24"/>
          <w:sz-cs w:val="24"/>
          <w:spacing w:val="0"/>
          <w:color w:val="000000"/>
        </w:rPr>
        <w:t xml:space="preserve">Rapid E-Commerce Fulfilment Drives Warehouse Cobots | + 5.80% | Global, led by Asia-Pacific | Short term (â‰¤ 2 years) | </w:t>
      </w:r>
    </w:p>
    <w:p>
      <w:pPr/>
      <w:r>
        <w:rPr>
          <w:rFonts w:ascii="Helvetica" w:hAnsi="Helvetica" w:cs="Helvetica"/>
          <w:sz w:val="24"/>
          <w:sz-cs w:val="24"/>
          <w:spacing w:val="0"/>
          <w:color w:val="000000"/>
        </w:rPr>
        <w:t xml:space="preserve">ISO/TS 15066 Updates Easing Liability Concerns | + 2.90% | Global | Medium term (2-4 years) | </w:t>
      </w:r>
    </w:p>
    <w:p>
      <w:pPr/>
      <w:r>
        <w:rPr>
          <w:rFonts w:ascii="Helvetica" w:hAnsi="Helvetica" w:cs="Helvetica"/>
          <w:sz w:val="24"/>
          <w:sz-cs w:val="24"/>
          <w:spacing w:val="0"/>
          <w:color w:val="000000"/>
        </w:rPr>
        <w:t xml:space="preserve">Tax Incentives for Reshoring Automation | + 3.40% | United States, selective EU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Cost-effective Redeployment in High-mix ManufacturingEuropean and North American factories now rotate cobots across assembly cells within a single shift, cutting changeover from weeks to hours This agility lets automotive suppliers accept smaller, high-margin orders while retaining automation gains.[2]Yaskawa Electric Corporation, â€œYaskawa Report 2024,â€ yaskawa-global.com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OEM Push Toward Plug-and-Play Cobots for SMEsNew controllers, capped wiring, and pre-loaded task libraries allow small manufacturers to install cobots without specialist integrators. Universal Robotsâ€™ UR-series refresh shows how cycle-time gains and intuitive hand-guiding shrink total cost of ownership, opening the collaborative robot market to thousands of first-time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E-commerce Fulfilment Drives Warehouse CobotsLogistics firms combine autonomous mobile robots with stationary cobots for goods-to-person picking, enabling same-day shipping even during seasonal surges. DHL Supply Chainâ€™s global rollout of 5,000 units underscores cobotsâ€™ ability to flex capacity without over-capitalizing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ISO/TS 15066 Updates Easing Liability ConcernsThe 2024 revision clarifies contact-force thresholds and risk-assessment procedures, letting integrators certify workcells faster and insurers price policies more accurately. Manufacturers now view cobots as compliant assets rather than legal hazards.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Collaborative Robots Market*Restraint | (~) % Impact on CAGR Forecast | Geographic Relevance | Impact Timeline | </w:t>
      </w:r>
    </w:p>
    <w:p>
      <w:pPr/>
      <w:r>
        <w:rPr>
          <w:rFonts w:ascii="Helvetica" w:hAnsi="Helvetica" w:cs="Helvetica"/>
          <w:sz w:val="24"/>
          <w:sz-cs w:val="24"/>
          <w:spacing w:val="0"/>
          <w:color w:val="000000"/>
        </w:rPr>
        <w:t xml:space="preserve">Integration Bottlenecks with Brownfield PLC Architectures | -2.80% | Global, concentrated in established manufacturing regions | Short term (â‰¤ 2 years) | </w:t>
      </w:r>
    </w:p>
    <w:p>
      <w:pPr/>
      <w:r>
        <w:rPr>
          <w:rFonts w:ascii="Helvetica" w:hAnsi="Helvetica" w:cs="Helvetica"/>
          <w:sz w:val="24"/>
          <w:sz-cs w:val="24"/>
          <w:spacing w:val="0"/>
          <w:color w:val="000000"/>
        </w:rPr>
        <w:t xml:space="preserve">Payload-Speed Trade-offs Limiting Heavy-duty Tasks | -1.90% | Global, particularly in automotive and metals industries | Long term (â‰¥ 4 years) | </w:t>
      </w:r>
    </w:p>
    <w:p>
      <w:pPr/>
      <w:r>
        <w:rPr>
          <w:rFonts w:ascii="Helvetica" w:hAnsi="Helvetica" w:cs="Helvetica"/>
          <w:sz w:val="24"/>
          <w:sz-cs w:val="24"/>
          <w:spacing w:val="0"/>
          <w:color w:val="000000"/>
        </w:rPr>
        <w:t xml:space="preserve">Fragmented Component Ecosystem Inflates TCO for SMEs | -2.10% | Global, most acute in emerging markets | Medium term (2-4 years) | </w:t>
      </w:r>
    </w:p>
    <w:p>
      <w:pPr/>
      <w:r>
        <w:rPr>
          <w:rFonts w:ascii="Helvetica" w:hAnsi="Helvetica" w:cs="Helvetica"/>
          <w:sz w:val="24"/>
          <w:sz-cs w:val="24"/>
          <w:spacing w:val="0"/>
          <w:color w:val="000000"/>
        </w:rPr>
        <w:t xml:space="preserve">Insurance underwriting gaps for human-robot workcells | âˆ’1.5% | Global, early-stage adopters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Integration Bottlenecks with Brownfield PLC ArchitecturesLegacy PLCs often lack real-time Ethernet or safe-motion channels, forcing costly controller upgrades when cobots are added to decades-old lines . The expense pushes some automotive plants to defer adoption until full line overhauls.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Payload-Speed Trade-offs Limiting Heavy-duty TasksForce-limiting designs cap joint velocities, so even new 30 kg units run slower than traditional arms. In high-volume stamping or welding, throughput penalties outweigh safety gains, limiting addressable demand in heavy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Collaborative Robots Market Segment AnalysisBy Payload:Lightweight Dominance Shifts Toward Mid-RangeSub-5 kg models controlled 52.40% of the collaborative robot market in 2025, largely in electronics and medical device assembly where precision is paramount. The 10-20 kg band, however, is pacing a 22.95% CAGR, signaling rising interest in palletizing, machine tending, and automotive sub-assembly. Mid-range units also integrate longer reaches, enabling line-side work without moving humans to new safety zones. Heavy-duty (&gt;20 kg) cobots remain niche but prove valuable in paint and chemical environments where explosion-proof certification is essential. As robot makers refine dynamic torque sensing, the collaborative robots market size for mid-payloads is projected to outgrow light units after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Within 5-9 kg, vendors package vision and AI for pick-and-place cycles under one second, catering to semiconductor back-end operations. The shift reflects buyersâ€™ search for units that bridge dexterity and strength, reducing fleet complexity. Manufacturers leveraging the collaborative robot market gain the option to standardize grippers and controllers across payload classes, simplifying spare-parts management and operator training.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Component:Hardware Foundation Enables Software InnovationHardware generated 71.35% of revenue in 2025, yet software is advancing 27.15% annually as users emphasize intelligence over mechanics. Vision-guided path planning, fleet orchestration, and predictive maintenance modules convert one-time hardware sales into recurring licenses, moving vendor profit pools toward digital services. Cobots now ship with ROS-compatible APIs and cloud connectors, allowing quick app integrations.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in consulting and lifecycle services reflects SME reliance on external expertise. Vendors bundle safety assessment, programming, and operator up-skilling into subscription models, further enlarging the cobot market. Over time, software-defined payload upgrades may lower replacement cycles, letting plant managers keep frames in service longer while lifting performance through firmware enhancements.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Application:Assembly Leadership Challenged by Logistics GrowthAssembly accounted for 25.60% of 2025 revenue as cobots solder PCBs and fasten interior trim alongside workers. Warehouse palletizing is rising fastest at 24.55% CAGR because e-commerce skews toward high-mix, low-volume flows that fixed conveyors cannot handle. Operators appreciate cobotsâ€™ quick redeployment between SKUs and minimal guarding needs. Machine tending and quality inspection also gain share as cameras and AI enable inline defect detection without tooling swaps.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Beyond manufacturing, hospitals pilot cobots for laboratory sample handling and pharmacy fulfillment, broadening the collaborative robot market. Food processors adopt hygienic-design arms for portioning and packaging, leveraging IP69K-rated enclosures to withstand wash-down routines.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Industry:Automotive Maturity Meets E-commerce DynamismAutomotive held 30.35% collaborative robots market share in 2025 but shows slowing incremental growth. OEMs concentrate on final-trim stations where lightweight doors and dashboards require human guidance. Conversely, logistics and e-commerce exhibit a 30.40% CAGR as fulfillment centers scale robot fleets to meet next-day delivery benchmarks. Electronics assembly, general industry, and healthcare add resilience by diversifying revenue beyond cyclical vehicle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Pharmaceutical packagers apply cobots in sterile filling, exploiting clean-room certification levels unattainable by legacy industrial arms. Metals processing remains cautious due to payload-speed constraints, but weld-assist cobots still carve out sub-tasks such as tacking and cosmetic seam finishing.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Programming Method:Intuitive Interfaces Drive AdoptionHand-guiding dominates as operators teach paths by physically moving the arm, eliminating code. Lead-through teaching layers simple drag-and-drop waypoints for more precise jobs. Offline simulation appeals to automotive and aerospace users seeking cycle-time optimization before line-side deployment. The intuitive trend opens the collaborative robot industry to labor pools with limited coding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Advances in augmented-reality overlays let technicians visualize reach studies and collision envelopes on a tablet, cutting commissioning days. Voice-guided instruction is in early pilots, promising further democratization and reinforcing the collaborative robot marketâ€™s customer base among SMEs.</w:t>
      </w:r>
    </w:p>
    <w:p>
      <w:pPr/>
      <w:r>
        <w:rPr>
          <w:rFonts w:ascii="Helvetica" w:hAnsi="Helvetica" w:cs="Helvetica"/>
          <w:sz w:val="24"/>
          <w:sz-cs w:val="24"/>
          <w:spacing w:val="0"/>
          <w:color w:val="000000"/>
        </w:rPr>
        <w:t xml:space="preserve">Geography AnalysisAPAC Collaborative Robots MarketAsia generated 40.55% of 2025 revenue, propelled by Chinaâ€™s 1-trillion-yuan robotics push under the 14th Five-Year Plan and Japanâ€™s Society 5.0 roadmap that blends AI, IoT, and next-generation automation . Chinese electronics and battery plants install cobots for precision gluing and cell stacking, while Japanese hospitals test service robots for elder care. South Koreaâ€™s Fourth Intelligent Robot Basic Plan funds local SMEs to adopt collaborative solutions, reinforcing domestic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Collaborative Robots MarketNorth America ranks second. U.S. reshoring incentives combined with record labor scarcity elevate the market. Semiconductor fabs subsidized by the CHIPS Act integrate dual-arm cobots for wafer loading, shrinking transport contamination risk. Canadian auto parts suppliers adopt mid-payload units for die-casting part finishing, while Mexican maquiladoras deploy cobots to balance wage inflation with export competitiveness. Cross-border standardization allows integrators to reuse cell designs, accelerating rollout.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Collaborative Robots MarketEurope shows robust uptake led by Germanyâ€™s Industrie 4.0 lighthouse projects linking MES data to cobot fleets. Horizon Europe grants finance human-machine interface research, spurring startups in Denmark and Italy that build AI motion-planning stacks. French aerospace plants choose cobots for carbon-fiber trimming, citing weight reduction and ergonomic gains. Rising energy costs push factories toward leaner layouts where cobots save floor space relative to fenced robots. Environmental regulations also favor cobotsâ€™ lower idle power draw compared with hydraulic presses, aiding the collaborative robots market size in sustainability-conscious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Universal Robots, FANUC, ABB, and KUKA anchor the market through broad portfolios and global service networks. Together they form a durable core, yet Doosan Robotics, Techman Robot, and AUBO Robotics erode share by specializing in palletizing, vision-guided inspection, and cost-sensitive emerging markets. Product roadmaps center on higher payloads, IP ratings, and software ecosystems rather than raw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partnerships are multiplying. FANUC collaborates with paint-booth OEMs for explosion-proof packages, while ABB and Microsoft co-develop AI platforms that process vision data on the edge. Universal Robots hosts a growing UR+ marketplace where third-party grippers and cameras gain plug-and-play certification, reducing integration friction and expanding the collaborative robot market. Component suppliers such as Harmonic Drive and Schaeffler invest in torque-dense actuators that lift performance without sacrificing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Pricing remains stable despite rising volumes because vendors bundle software licenses and support services. Integrators differentiate through vertical templates; a warehouse integrator may guarantee pick accuracy, whereas a medical integrator focuses on sterilization workflows. Industry consolidation is likely as smaller players seek capital to fund global support footprints, yet open interfaces preserve a multi-vendor environment for now.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Collaborative Robots Industry Leaders* Universal Robots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Fanuc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TechMan Robot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AUBO Robotics USA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4.0.Collaborative Robots Market Companies Covered in this Report* Universal Robots AS</w:t>
      </w:r>
    </w:p>
    <w:p>
      <w:pPr/>
      <w:r>
        <w:rPr>
          <w:rFonts w:ascii="Helvetica" w:hAnsi="Helvetica" w:cs="Helvetica"/>
          <w:sz w:val="24"/>
          <w:sz-cs w:val="24"/>
          <w:spacing w:val="0"/>
          <w:color w:val="000000"/>
        </w:rPr>
        <w:t xml:space="preserve">* FANUC Corp.</w:t>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KUKA AG</w:t>
      </w:r>
    </w:p>
    <w:p>
      <w:pPr/>
      <w:r>
        <w:rPr>
          <w:rFonts w:ascii="Helvetica" w:hAnsi="Helvetica" w:cs="Helvetica"/>
          <w:sz w:val="24"/>
          <w:sz-cs w:val="24"/>
          <w:spacing w:val="0"/>
          <w:color w:val="000000"/>
        </w:rPr>
        <w:t xml:space="preserve">* Yaskawa Electric Corp.</w:t>
      </w:r>
    </w:p>
    <w:p>
      <w:pPr/>
      <w:r>
        <w:rPr>
          <w:rFonts w:ascii="Helvetica" w:hAnsi="Helvetica" w:cs="Helvetica"/>
          <w:sz w:val="24"/>
          <w:sz-cs w:val="24"/>
          <w:spacing w:val="0"/>
          <w:color w:val="000000"/>
        </w:rPr>
        <w:t xml:space="preserve">* Techman Robot Inc.</w:t>
      </w:r>
    </w:p>
    <w:p>
      <w:pPr/>
      <w:r>
        <w:rPr>
          <w:rFonts w:ascii="Helvetica" w:hAnsi="Helvetica" w:cs="Helvetica"/>
          <w:sz w:val="24"/>
          <w:sz-cs w:val="24"/>
          <w:spacing w:val="0"/>
          <w:color w:val="000000"/>
        </w:rPr>
        <w:t xml:space="preserve">* Doosan Robotics Inc.</w:t>
      </w:r>
    </w:p>
    <w:p>
      <w:pPr/>
      <w:r>
        <w:rPr>
          <w:rFonts w:ascii="Helvetica" w:hAnsi="Helvetica" w:cs="Helvetica"/>
          <w:sz w:val="24"/>
          <w:sz-cs w:val="24"/>
          <w:spacing w:val="0"/>
          <w:color w:val="000000"/>
        </w:rPr>
        <w:t xml:space="preserve">* AUBO Robotics</w:t>
      </w:r>
    </w:p>
    <w:p>
      <w:pPr/>
      <w:r>
        <w:rPr>
          <w:rFonts w:ascii="Helvetica" w:hAnsi="Helvetica" w:cs="Helvetica"/>
          <w:sz w:val="24"/>
          <w:sz-cs w:val="24"/>
          <w:spacing w:val="0"/>
          <w:color w:val="000000"/>
        </w:rPr>
        <w:t xml:space="preserve">* Kawasaki Heavy Industries Ltd.</w:t>
      </w:r>
    </w:p>
    <w:p>
      <w:pPr/>
      <w:r>
        <w:rPr>
          <w:rFonts w:ascii="Helvetica" w:hAnsi="Helvetica" w:cs="Helvetica"/>
          <w:sz w:val="24"/>
          <w:sz-cs w:val="24"/>
          <w:spacing w:val="0"/>
          <w:color w:val="000000"/>
        </w:rPr>
        <w:t xml:space="preserve">* Omron Corporation</w:t>
      </w:r>
    </w:p>
    <w:p>
      <w:pPr/>
      <w:r>
        <w:rPr>
          <w:rFonts w:ascii="Helvetica" w:hAnsi="Helvetica" w:cs="Helvetica"/>
          <w:sz w:val="24"/>
          <w:sz-cs w:val="24"/>
          <w:spacing w:val="0"/>
          <w:color w:val="000000"/>
        </w:rPr>
        <w:t xml:space="preserve">* Epson Robots</w:t>
      </w:r>
    </w:p>
    <w:p>
      <w:pPr/>
      <w:r>
        <w:rPr>
          <w:rFonts w:ascii="Helvetica" w:hAnsi="Helvetica" w:cs="Helvetica"/>
          <w:sz w:val="24"/>
          <w:sz-cs w:val="24"/>
          <w:spacing w:val="0"/>
          <w:color w:val="000000"/>
        </w:rPr>
        <w:t xml:space="preserve">* Precise Automation Inc.</w:t>
      </w:r>
    </w:p>
    <w:p>
      <w:pPr/>
      <w:r>
        <w:rPr>
          <w:rFonts w:ascii="Helvetica" w:hAnsi="Helvetica" w:cs="Helvetica"/>
          <w:sz w:val="24"/>
          <w:sz-cs w:val="24"/>
          <w:spacing w:val="0"/>
          <w:color w:val="000000"/>
        </w:rPr>
        <w:t xml:space="preserve">* StÃ¤ubli International AG</w:t>
      </w:r>
    </w:p>
    <w:p>
      <w:pPr/>
      <w:r>
        <w:rPr>
          <w:rFonts w:ascii="Helvetica" w:hAnsi="Helvetica" w:cs="Helvetica"/>
          <w:sz w:val="24"/>
          <w:sz-cs w:val="24"/>
          <w:spacing w:val="0"/>
          <w:color w:val="000000"/>
        </w:rPr>
        <w:t xml:space="preserve">* Hanwha Robotics</w:t>
      </w:r>
    </w:p>
    <w:p>
      <w:pPr/>
      <w:r>
        <w:rPr>
          <w:rFonts w:ascii="Helvetica" w:hAnsi="Helvetica" w:cs="Helvetica"/>
          <w:sz w:val="24"/>
          <w:sz-cs w:val="24"/>
          <w:spacing w:val="0"/>
          <w:color w:val="000000"/>
        </w:rPr>
        <w:t xml:space="preserve">* Denso Wave Inc.</w:t>
      </w:r>
    </w:p>
    <w:p>
      <w:pPr/>
      <w:r>
        <w:rPr>
          <w:rFonts w:ascii="Helvetica" w:hAnsi="Helvetica" w:cs="Helvetica"/>
          <w:sz w:val="24"/>
          <w:sz-cs w:val="24"/>
          <w:spacing w:val="0"/>
          <w:color w:val="000000"/>
        </w:rPr>
        <w:t xml:space="preserve">* Comau SpA</w:t>
      </w:r>
    </w:p>
    <w:p>
      <w:pPr/>
      <w:r>
        <w:rPr>
          <w:rFonts w:ascii="Helvetica" w:hAnsi="Helvetica" w:cs="Helvetica"/>
          <w:sz w:val="24"/>
          <w:sz-cs w:val="24"/>
          <w:spacing w:val="0"/>
          <w:color w:val="000000"/>
        </w:rPr>
        <w:t xml:space="preserve">* Hyundai Robotics</w:t>
      </w:r>
    </w:p>
    <w:p>
      <w:pPr/>
      <w:r>
        <w:rPr>
          <w:rFonts w:ascii="Helvetica" w:hAnsi="Helvetica" w:cs="Helvetica"/>
          <w:sz w:val="24"/>
          <w:sz-cs w:val="24"/>
          <w:spacing w:val="0"/>
          <w:color w:val="000000"/>
        </w:rPr>
        <w:t xml:space="preserve">* Festo SE and Co. KG</w:t>
      </w:r>
    </w:p>
    <w:p>
      <w:pPr/>
      <w:r>
        <w:rPr>
          <w:rFonts w:ascii="Helvetica" w:hAnsi="Helvetica" w:cs="Helvetica"/>
          <w:sz w:val="24"/>
          <w:sz-cs w:val="24"/>
          <w:spacing w:val="0"/>
          <w:color w:val="000000"/>
        </w:rPr>
        <w:t xml:space="preserve">Recent Industry Developments in Collaborative Robots Market* June 2025: Foxconn announced humanoid robot deployment at its new Houston plant for Nvidia server production, targeting Q1 2026 go-live.</w:t>
      </w:r>
    </w:p>
    <w:p>
      <w:pPr/>
      <w:r>
        <w:rPr>
          <w:rFonts w:ascii="Helvetica" w:hAnsi="Helvetica" w:cs="Helvetica"/>
          <w:sz w:val="24"/>
          <w:sz-cs w:val="24"/>
          <w:spacing w:val="0"/>
          <w:color w:val="000000"/>
        </w:rPr>
        <w:t xml:space="preserve">* May 2025: DHL Group signed a memorandum of understanding with Boston Dynamics for an additional 1,000 robots, extending a 7,500-unit fleet.</w:t>
      </w:r>
    </w:p>
    <w:p>
      <w:pPr/>
      <w:r>
        <w:rPr>
          <w:rFonts w:ascii="Helvetica" w:hAnsi="Helvetica" w:cs="Helvetica"/>
          <w:sz w:val="24"/>
          <w:sz-cs w:val="24"/>
          <w:spacing w:val="0"/>
          <w:color w:val="000000"/>
        </w:rPr>
        <w:t xml:space="preserve">* April 2025: Collaborative Robotics raised USD 100 million in Series B funding, bringing total to USD 140 million within two years.</w:t>
      </w:r>
    </w:p>
    <w:p>
      <w:pPr/>
      <w:r>
        <w:rPr>
          <w:rFonts w:ascii="Helvetica" w:hAnsi="Helvetica" w:cs="Helvetica"/>
          <w:sz w:val="24"/>
          <w:sz-cs w:val="24"/>
          <w:spacing w:val="0"/>
          <w:color w:val="000000"/>
        </w:rPr>
        <w:t xml:space="preserve">* January 2025: Yaskawa Electric reported 12% lower FY 2024 operating profit at JPY 58 billion amid semiconductor softness.</w:t>
      </w:r>
    </w:p>
    <w:p>
      <w:pPr/>
      <w:r>
        <w:rPr>
          <w:rFonts w:ascii="Helvetica" w:hAnsi="Helvetica" w:cs="Helvetica"/>
          <w:sz w:val="24"/>
          <w:sz-cs w:val="24"/>
          <w:spacing w:val="0"/>
          <w:color w:val="000000"/>
        </w:rPr>
        <w:t xml:space="preserve">Table of Contents for Collaborative Robots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Cost-effective Re-deployment in High-mix Manufacturing (Europe)</w:t>
      </w:r>
    </w:p>
    <w:p>
      <w:pPr/>
      <w:r>
        <w:rPr>
          <w:rFonts w:ascii="Helvetica" w:hAnsi="Helvetica" w:cs="Helvetica"/>
          <w:sz w:val="24"/>
          <w:sz-cs w:val="24"/>
          <w:spacing w:val="0"/>
          <w:color w:val="000000"/>
        </w:rPr>
        <w:t xml:space="preserve">* 4.2.2 OEM Push Toward Plug-and-Play Cobots for SMEs (North America)</w:t>
      </w:r>
    </w:p>
    <w:p>
      <w:pPr/>
      <w:r>
        <w:rPr>
          <w:rFonts w:ascii="Helvetica" w:hAnsi="Helvetica" w:cs="Helvetica"/>
          <w:sz w:val="24"/>
          <w:sz-cs w:val="24"/>
          <w:spacing w:val="0"/>
          <w:color w:val="000000"/>
        </w:rPr>
        <w:t xml:space="preserve">* 4.2.3 Rapid E-Commerce Fulfilment Drives Warehouse Cobots (Asia)</w:t>
      </w:r>
    </w:p>
    <w:p>
      <w:pPr/>
      <w:r>
        <w:rPr>
          <w:rFonts w:ascii="Helvetica" w:hAnsi="Helvetica" w:cs="Helvetica"/>
          <w:sz w:val="24"/>
          <w:sz-cs w:val="24"/>
          <w:spacing w:val="0"/>
          <w:color w:val="000000"/>
        </w:rPr>
        <w:t xml:space="preserve">* 4.2.4 ISO/TS 15066 Updates Easing Liability Concerns (Global)</w:t>
      </w:r>
    </w:p>
    <w:p>
      <w:pPr/>
      <w:r>
        <w:rPr>
          <w:rFonts w:ascii="Helvetica" w:hAnsi="Helvetica" w:cs="Helvetica"/>
          <w:sz w:val="24"/>
          <w:sz-cs w:val="24"/>
          <w:spacing w:val="0"/>
          <w:color w:val="000000"/>
        </w:rPr>
        <w:t xml:space="preserve">* 4.2.5 Tax Incentives for Reshoring Automation (United 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Integration Bottlenecks with Brownfield PLC Architectures</w:t>
      </w:r>
    </w:p>
    <w:p>
      <w:pPr/>
      <w:r>
        <w:rPr>
          <w:rFonts w:ascii="Helvetica" w:hAnsi="Helvetica" w:cs="Helvetica"/>
          <w:sz w:val="24"/>
          <w:sz-cs w:val="24"/>
          <w:spacing w:val="0"/>
          <w:color w:val="000000"/>
        </w:rPr>
        <w:t xml:space="preserve">* 4.3.2 Payload-Speed Trade-offs Limiting Heavy-duty Tasks</w:t>
      </w:r>
    </w:p>
    <w:p>
      <w:pPr/>
      <w:r>
        <w:rPr>
          <w:rFonts w:ascii="Helvetica" w:hAnsi="Helvetica" w:cs="Helvetica"/>
          <w:sz w:val="24"/>
          <w:sz-cs w:val="24"/>
          <w:spacing w:val="0"/>
          <w:color w:val="000000"/>
        </w:rPr>
        <w:t xml:space="preserve">* 4.3.3 Fragmented Component Ecosystem Inflates TCO for SMEs</w:t>
      </w:r>
    </w:p>
    <w:p>
      <w:pPr/>
      <w:r>
        <w:rPr>
          <w:rFonts w:ascii="Helvetica" w:hAnsi="Helvetica" w:cs="Helvetica"/>
          <w:sz w:val="24"/>
          <w:sz-cs w:val="24"/>
          <w:spacing w:val="0"/>
          <w:color w:val="000000"/>
        </w:rPr>
        <w:t xml:space="preserve">* 4.3.4 Insurance Underwriting Gaps for HumanRobot Workcells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and Technological Outlook</w:t>
      </w:r>
    </w:p>
    <w:p>
      <w:pPr/>
      <w:r>
        <w:rPr>
          <w:rFonts w:ascii="Helvetica" w:hAnsi="Helvetica" w:cs="Helvetica"/>
          <w:sz w:val="24"/>
          <w:sz-cs w:val="24"/>
          <w:spacing w:val="0"/>
          <w:color w:val="000000"/>
        </w:rPr>
        <w:t xml:space="preserve">* 4.6 Porters Five Forces* 4.6.1 Bargaining Power of Suppliers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Intensity of Competitive Rivalry</w:t>
      </w:r>
    </w:p>
    <w:p>
      <w:pPr/>
      <w:r>
        <w:rPr>
          <w:rFonts w:ascii="Helvetica" w:hAnsi="Helvetica" w:cs="Helvetica"/>
          <w:sz w:val="24"/>
          <w:sz-cs w:val="24"/>
          <w:spacing w:val="0"/>
          <w:color w:val="000000"/>
        </w:rPr>
        <w:t xml:space="preserve">* 4.6.5 Threat of Substitute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Pricing Analysis</w:t>
      </w:r>
    </w:p>
    <w:p>
      <w:pPr/>
      <w:r>
        <w:rPr>
          <w:rFonts w:ascii="Helvetica" w:hAnsi="Helvetica" w:cs="Helvetica"/>
          <w:sz w:val="24"/>
          <w:sz-cs w:val="24"/>
          <w:spacing w:val="0"/>
          <w:color w:val="000000"/>
        </w:rPr>
        <w:t xml:space="preserve">5. MARKET SIZE AND GROWTH FORECASTS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Payload* 5.1.1 Less than 5 kg</w:t>
      </w:r>
    </w:p>
    <w:p>
      <w:pPr/>
      <w:r>
        <w:rPr>
          <w:rFonts w:ascii="Helvetica" w:hAnsi="Helvetica" w:cs="Helvetica"/>
          <w:sz w:val="24"/>
          <w:sz-cs w:val="24"/>
          <w:spacing w:val="0"/>
          <w:color w:val="000000"/>
        </w:rPr>
        <w:t xml:space="preserve">* 5.1.2 5 - 9 kg</w:t>
      </w:r>
    </w:p>
    <w:p>
      <w:pPr/>
      <w:r>
        <w:rPr>
          <w:rFonts w:ascii="Helvetica" w:hAnsi="Helvetica" w:cs="Helvetica"/>
          <w:sz w:val="24"/>
          <w:sz-cs w:val="24"/>
          <w:spacing w:val="0"/>
          <w:color w:val="000000"/>
        </w:rPr>
        <w:t xml:space="preserve">* 5.1.3 10 - 20 kg</w:t>
      </w:r>
    </w:p>
    <w:p>
      <w:pPr/>
      <w:r>
        <w:rPr>
          <w:rFonts w:ascii="Helvetica" w:hAnsi="Helvetica" w:cs="Helvetica"/>
          <w:sz w:val="24"/>
          <w:sz-cs w:val="24"/>
          <w:spacing w:val="0"/>
          <w:color w:val="000000"/>
        </w:rPr>
        <w:t xml:space="preserve">* 5.1.4 More than 20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Hardware</w:t>
      </w:r>
    </w:p>
    <w:p>
      <w:pPr/>
      <w:r>
        <w:rPr>
          <w:rFonts w:ascii="Helvetica" w:hAnsi="Helvetica" w:cs="Helvetica"/>
          <w:sz w:val="24"/>
          <w:sz-cs w:val="24"/>
          <w:spacing w:val="0"/>
          <w:color w:val="000000"/>
        </w:rPr>
        <w:t xml:space="preserve">* 5.2.2 Software</w:t>
      </w:r>
    </w:p>
    <w:p>
      <w:pPr/>
      <w:r>
        <w:rPr>
          <w:rFonts w:ascii="Helvetica" w:hAnsi="Helvetica" w:cs="Helvetica"/>
          <w:sz w:val="24"/>
          <w:sz-cs w:val="24"/>
          <w:spacing w:val="0"/>
          <w:color w:val="000000"/>
        </w:rPr>
        <w:t xml:space="preserve">* 5.2.3 Services</w:t>
      </w:r>
    </w:p>
    <w:p>
      <w:pPr/>
      <w:r>
        <w:rPr>
          <w:rFonts w:ascii="Helvetica" w:hAnsi="Helvetica" w:cs="Helvetica"/>
          <w:sz w:val="24"/>
          <w:sz-cs w:val="24"/>
          <w:spacing w:val="0"/>
          <w:color w:val="000000"/>
        </w:rPr>
        <w:t xml:space="preserve">* 5.2.3.1 Consulting and Integration</w:t>
      </w:r>
    </w:p>
    <w:p>
      <w:pPr/>
      <w:r>
        <w:rPr>
          <w:rFonts w:ascii="Helvetica" w:hAnsi="Helvetica" w:cs="Helvetica"/>
          <w:sz w:val="24"/>
          <w:sz-cs w:val="24"/>
          <w:spacing w:val="0"/>
          <w:color w:val="000000"/>
        </w:rPr>
        <w:t xml:space="preserve">* 5.2.3.2 Maintenance and Training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Material Handling</w:t>
      </w:r>
    </w:p>
    <w:p>
      <w:pPr/>
      <w:r>
        <w:rPr>
          <w:rFonts w:ascii="Helvetica" w:hAnsi="Helvetica" w:cs="Helvetica"/>
          <w:sz w:val="24"/>
          <w:sz-cs w:val="24"/>
          <w:spacing w:val="0"/>
          <w:color w:val="000000"/>
        </w:rPr>
        <w:t xml:space="preserve">* 5.3.2 Pick and Place</w:t>
      </w:r>
    </w:p>
    <w:p>
      <w:pPr/>
      <w:r>
        <w:rPr>
          <w:rFonts w:ascii="Helvetica" w:hAnsi="Helvetica" w:cs="Helvetica"/>
          <w:sz w:val="24"/>
          <w:sz-cs w:val="24"/>
          <w:spacing w:val="0"/>
          <w:color w:val="000000"/>
        </w:rPr>
        <w:t xml:space="preserve">* 5.3.3 Assembly</w:t>
      </w:r>
    </w:p>
    <w:p>
      <w:pPr/>
      <w:r>
        <w:rPr>
          <w:rFonts w:ascii="Helvetica" w:hAnsi="Helvetica" w:cs="Helvetica"/>
          <w:sz w:val="24"/>
          <w:sz-cs w:val="24"/>
          <w:spacing w:val="0"/>
          <w:color w:val="000000"/>
        </w:rPr>
        <w:t xml:space="preserve">* 5.3.4 Palletizing and De-palletizing</w:t>
      </w:r>
    </w:p>
    <w:p>
      <w:pPr/>
      <w:r>
        <w:rPr>
          <w:rFonts w:ascii="Helvetica" w:hAnsi="Helvetica" w:cs="Helvetica"/>
          <w:sz w:val="24"/>
          <w:sz-cs w:val="24"/>
          <w:spacing w:val="0"/>
          <w:color w:val="000000"/>
        </w:rPr>
        <w:t xml:space="preserve">* 5.3.5 Welding and Soldering</w:t>
      </w:r>
    </w:p>
    <w:p>
      <w:pPr/>
      <w:r>
        <w:rPr>
          <w:rFonts w:ascii="Helvetica" w:hAnsi="Helvetica" w:cs="Helvetica"/>
          <w:sz w:val="24"/>
          <w:sz-cs w:val="24"/>
          <w:spacing w:val="0"/>
          <w:color w:val="000000"/>
        </w:rPr>
        <w:t xml:space="preserve">* 5.3.6 Quality Testing and Inspection</w:t>
      </w:r>
    </w:p>
    <w:p>
      <w:pPr/>
      <w:r>
        <w:rPr>
          <w:rFonts w:ascii="Helvetica" w:hAnsi="Helvetica" w:cs="Helvetica"/>
          <w:sz w:val="24"/>
          <w:sz-cs w:val="24"/>
          <w:spacing w:val="0"/>
          <w:color w:val="000000"/>
        </w:rPr>
        <w:t xml:space="preserve">* 5.3.7 Packaging</w:t>
      </w:r>
    </w:p>
    <w:p>
      <w:pPr/>
      <w:r>
        <w:rPr>
          <w:rFonts w:ascii="Helvetica" w:hAnsi="Helvetica" w:cs="Helvetica"/>
          <w:sz w:val="24"/>
          <w:sz-cs w:val="24"/>
          <w:spacing w:val="0"/>
          <w:color w:val="000000"/>
        </w:rPr>
        <w:t xml:space="preserve">* 5.3.8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Automotive</w:t>
      </w:r>
    </w:p>
    <w:p>
      <w:pPr/>
      <w:r>
        <w:rPr>
          <w:rFonts w:ascii="Helvetica" w:hAnsi="Helvetica" w:cs="Helvetica"/>
          <w:sz w:val="24"/>
          <w:sz-cs w:val="24"/>
          <w:spacing w:val="0"/>
          <w:color w:val="000000"/>
        </w:rPr>
        <w:t xml:space="preserve">* 5.4.2 Electronics and Semiconductors</w:t>
      </w:r>
    </w:p>
    <w:p>
      <w:pPr/>
      <w:r>
        <w:rPr>
          <w:rFonts w:ascii="Helvetica" w:hAnsi="Helvetica" w:cs="Helvetica"/>
          <w:sz w:val="24"/>
          <w:sz-cs w:val="24"/>
          <w:spacing w:val="0"/>
          <w:color w:val="000000"/>
        </w:rPr>
        <w:t xml:space="preserve">* 5.4.3 General Manufacturing</w:t>
      </w:r>
    </w:p>
    <w:p>
      <w:pPr/>
      <w:r>
        <w:rPr>
          <w:rFonts w:ascii="Helvetica" w:hAnsi="Helvetica" w:cs="Helvetica"/>
          <w:sz w:val="24"/>
          <w:sz-cs w:val="24"/>
          <w:spacing w:val="0"/>
          <w:color w:val="000000"/>
        </w:rPr>
        <w:t xml:space="preserve">* 5.4.4 Food and Beverage</w:t>
      </w:r>
    </w:p>
    <w:p>
      <w:pPr/>
      <w:r>
        <w:rPr>
          <w:rFonts w:ascii="Helvetica" w:hAnsi="Helvetica" w:cs="Helvetica"/>
          <w:sz w:val="24"/>
          <w:sz-cs w:val="24"/>
          <w:spacing w:val="0"/>
          <w:color w:val="000000"/>
        </w:rPr>
        <w:t xml:space="preserve">* 5.4.5 Chemicals and Pharmaceuticals</w:t>
      </w:r>
    </w:p>
    <w:p>
      <w:pPr/>
      <w:r>
        <w:rPr>
          <w:rFonts w:ascii="Helvetica" w:hAnsi="Helvetica" w:cs="Helvetica"/>
          <w:sz w:val="24"/>
          <w:sz-cs w:val="24"/>
          <w:spacing w:val="0"/>
          <w:color w:val="000000"/>
        </w:rPr>
        <w:t xml:space="preserve">* 5.4.6 Logistics and E-commerce</w:t>
      </w:r>
    </w:p>
    <w:p>
      <w:pPr/>
      <w:r>
        <w:rPr>
          <w:rFonts w:ascii="Helvetica" w:hAnsi="Helvetica" w:cs="Helvetica"/>
          <w:sz w:val="24"/>
          <w:sz-cs w:val="24"/>
          <w:spacing w:val="0"/>
          <w:color w:val="000000"/>
        </w:rPr>
        <w:t xml:space="preserve">* 5.4.7 Healthcare and Life Sciences</w:t>
      </w:r>
    </w:p>
    <w:p>
      <w:pPr/>
      <w:r>
        <w:rPr>
          <w:rFonts w:ascii="Helvetica" w:hAnsi="Helvetica" w:cs="Helvetica"/>
          <w:sz w:val="24"/>
          <w:sz-cs w:val="24"/>
          <w:spacing w:val="0"/>
          <w:color w:val="000000"/>
        </w:rPr>
        <w:t xml:space="preserve">* 5.4.8 Metals and Machining</w:t>
      </w:r>
    </w:p>
    <w:p>
      <w:pPr/>
      <w:r>
        <w:rPr>
          <w:rFonts w:ascii="Helvetica" w:hAnsi="Helvetica" w:cs="Helvetica"/>
          <w:sz w:val="24"/>
          <w:sz-cs w:val="24"/>
          <w:spacing w:val="0"/>
          <w:color w:val="000000"/>
        </w:rPr>
        <w:t xml:space="preserve">* 5.4.9 Other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Programming Method (qualitative only)* 5.5.1 Hand-Guiding / Direct Teaching</w:t>
      </w:r>
    </w:p>
    <w:p>
      <w:pPr/>
      <w:r>
        <w:rPr>
          <w:rFonts w:ascii="Helvetica" w:hAnsi="Helvetica" w:cs="Helvetica"/>
          <w:sz w:val="24"/>
          <w:sz-cs w:val="24"/>
          <w:spacing w:val="0"/>
          <w:color w:val="000000"/>
        </w:rPr>
        <w:t xml:space="preserve">* 5.5.2 Lead-through Teaching</w:t>
      </w:r>
    </w:p>
    <w:p>
      <w:pPr/>
      <w:r>
        <w:rPr>
          <w:rFonts w:ascii="Helvetica" w:hAnsi="Helvetica" w:cs="Helvetica"/>
          <w:sz w:val="24"/>
          <w:sz-cs w:val="24"/>
          <w:spacing w:val="0"/>
          <w:color w:val="000000"/>
        </w:rPr>
        <w:t xml:space="preserve">* 5.5.3 Offline Programming and Simulation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Nordics</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 and New Zealand</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United Arab Emirates</w:t>
      </w:r>
    </w:p>
    <w:p>
      <w:pPr/>
      <w:r>
        <w:rPr>
          <w:rFonts w:ascii="Helvetica" w:hAnsi="Helvetica" w:cs="Helvetica"/>
          <w:sz w:val="24"/>
          <w:sz-cs w:val="24"/>
          <w:spacing w:val="0"/>
          <w:color w:val="000000"/>
        </w:rPr>
        <w:t xml:space="preserve">* 5.6.5.2 Saudi Arabia</w:t>
      </w:r>
    </w:p>
    <w:p>
      <w:pPr/>
      <w:r>
        <w:rPr>
          <w:rFonts w:ascii="Helvetica" w:hAnsi="Helvetica" w:cs="Helvetica"/>
          <w:sz w:val="24"/>
          <w:sz-cs w:val="24"/>
          <w:spacing w:val="0"/>
          <w:color w:val="000000"/>
        </w:rPr>
        <w:t xml:space="preserve">* 5.6.5.3 Turkey</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6.4.1 Universal Robots AS</w:t>
      </w:r>
    </w:p>
    <w:p>
      <w:pPr/>
      <w:r>
        <w:rPr>
          <w:rFonts w:ascii="Helvetica" w:hAnsi="Helvetica" w:cs="Helvetica"/>
          <w:sz w:val="24"/>
          <w:sz-cs w:val="24"/>
          <w:spacing w:val="0"/>
          <w:color w:val="000000"/>
        </w:rPr>
        <w:t xml:space="preserve">* 6.4.2 FANUC Corp.</w:t>
      </w:r>
    </w:p>
    <w:p>
      <w:pPr/>
      <w:r>
        <w:rPr>
          <w:rFonts w:ascii="Helvetica" w:hAnsi="Helvetica" w:cs="Helvetica"/>
          <w:sz w:val="24"/>
          <w:sz-cs w:val="24"/>
          <w:spacing w:val="0"/>
          <w:color w:val="000000"/>
        </w:rPr>
        <w:t xml:space="preserve">* 6.4.3 ABB Ltd.</w:t>
      </w:r>
    </w:p>
    <w:p>
      <w:pPr/>
      <w:r>
        <w:rPr>
          <w:rFonts w:ascii="Helvetica" w:hAnsi="Helvetica" w:cs="Helvetica"/>
          <w:sz w:val="24"/>
          <w:sz-cs w:val="24"/>
          <w:spacing w:val="0"/>
          <w:color w:val="000000"/>
        </w:rPr>
        <w:t xml:space="preserve">* 6.4.4 KUKA AG</w:t>
      </w:r>
    </w:p>
    <w:p>
      <w:pPr/>
      <w:r>
        <w:rPr>
          <w:rFonts w:ascii="Helvetica" w:hAnsi="Helvetica" w:cs="Helvetica"/>
          <w:sz w:val="24"/>
          <w:sz-cs w:val="24"/>
          <w:spacing w:val="0"/>
          <w:color w:val="000000"/>
        </w:rPr>
        <w:t xml:space="preserve">* 6.4.5 Yaskawa Electric Corp.</w:t>
      </w:r>
    </w:p>
    <w:p>
      <w:pPr/>
      <w:r>
        <w:rPr>
          <w:rFonts w:ascii="Helvetica" w:hAnsi="Helvetica" w:cs="Helvetica"/>
          <w:sz w:val="24"/>
          <w:sz-cs w:val="24"/>
          <w:spacing w:val="0"/>
          <w:color w:val="000000"/>
        </w:rPr>
        <w:t xml:space="preserve">* 6.4.6 Techman Robot Inc.</w:t>
      </w:r>
    </w:p>
    <w:p>
      <w:pPr/>
      <w:r>
        <w:rPr>
          <w:rFonts w:ascii="Helvetica" w:hAnsi="Helvetica" w:cs="Helvetica"/>
          <w:sz w:val="24"/>
          <w:sz-cs w:val="24"/>
          <w:spacing w:val="0"/>
          <w:color w:val="000000"/>
        </w:rPr>
        <w:t xml:space="preserve">* 6.4.7 Doosan Robotics Inc.</w:t>
      </w:r>
    </w:p>
    <w:p>
      <w:pPr/>
      <w:r>
        <w:rPr>
          <w:rFonts w:ascii="Helvetica" w:hAnsi="Helvetica" w:cs="Helvetica"/>
          <w:sz w:val="24"/>
          <w:sz-cs w:val="24"/>
          <w:spacing w:val="0"/>
          <w:color w:val="000000"/>
        </w:rPr>
        <w:t xml:space="preserve">* 6.4.8 AUBO Robotics</w:t>
      </w:r>
    </w:p>
    <w:p>
      <w:pPr/>
      <w:r>
        <w:rPr>
          <w:rFonts w:ascii="Helvetica" w:hAnsi="Helvetica" w:cs="Helvetica"/>
          <w:sz w:val="24"/>
          <w:sz-cs w:val="24"/>
          <w:spacing w:val="0"/>
          <w:color w:val="000000"/>
        </w:rPr>
        <w:t xml:space="preserve">* 6.4.9 Kawasaki Heavy Industries Ltd.</w:t>
      </w:r>
    </w:p>
    <w:p>
      <w:pPr/>
      <w:r>
        <w:rPr>
          <w:rFonts w:ascii="Helvetica" w:hAnsi="Helvetica" w:cs="Helvetica"/>
          <w:sz w:val="24"/>
          <w:sz-cs w:val="24"/>
          <w:spacing w:val="0"/>
          <w:color w:val="000000"/>
        </w:rPr>
        <w:t xml:space="preserve">* 6.4.10 Omron Corporation</w:t>
      </w:r>
    </w:p>
    <w:p>
      <w:pPr/>
      <w:r>
        <w:rPr>
          <w:rFonts w:ascii="Helvetica" w:hAnsi="Helvetica" w:cs="Helvetica"/>
          <w:sz w:val="24"/>
          <w:sz-cs w:val="24"/>
          <w:spacing w:val="0"/>
          <w:color w:val="000000"/>
        </w:rPr>
        <w:t xml:space="preserve">* 6.4.11 Epson Robots</w:t>
      </w:r>
    </w:p>
    <w:p>
      <w:pPr/>
      <w:r>
        <w:rPr>
          <w:rFonts w:ascii="Helvetica" w:hAnsi="Helvetica" w:cs="Helvetica"/>
          <w:sz w:val="24"/>
          <w:sz-cs w:val="24"/>
          <w:spacing w:val="0"/>
          <w:color w:val="000000"/>
        </w:rPr>
        <w:t xml:space="preserve">* 6.4.12 Precise Automation Inc.</w:t>
      </w:r>
    </w:p>
    <w:p>
      <w:pPr/>
      <w:r>
        <w:rPr>
          <w:rFonts w:ascii="Helvetica" w:hAnsi="Helvetica" w:cs="Helvetica"/>
          <w:sz w:val="24"/>
          <w:sz-cs w:val="24"/>
          <w:spacing w:val="0"/>
          <w:color w:val="000000"/>
        </w:rPr>
        <w:t xml:space="preserve">* 6.4.13 StÃ¤ubli International AG</w:t>
      </w:r>
    </w:p>
    <w:p>
      <w:pPr/>
      <w:r>
        <w:rPr>
          <w:rFonts w:ascii="Helvetica" w:hAnsi="Helvetica" w:cs="Helvetica"/>
          <w:sz w:val="24"/>
          <w:sz-cs w:val="24"/>
          <w:spacing w:val="0"/>
          <w:color w:val="000000"/>
        </w:rPr>
        <w:t xml:space="preserve">* 6.4.14 Hanwha Robotics</w:t>
      </w:r>
    </w:p>
    <w:p>
      <w:pPr/>
      <w:r>
        <w:rPr>
          <w:rFonts w:ascii="Helvetica" w:hAnsi="Helvetica" w:cs="Helvetica"/>
          <w:sz w:val="24"/>
          <w:sz-cs w:val="24"/>
          <w:spacing w:val="0"/>
          <w:color w:val="000000"/>
        </w:rPr>
        <w:t xml:space="preserve">* 6.4.15 Denso Wave Inc.</w:t>
      </w:r>
    </w:p>
    <w:p>
      <w:pPr/>
      <w:r>
        <w:rPr>
          <w:rFonts w:ascii="Helvetica" w:hAnsi="Helvetica" w:cs="Helvetica"/>
          <w:sz w:val="24"/>
          <w:sz-cs w:val="24"/>
          <w:spacing w:val="0"/>
          <w:color w:val="000000"/>
        </w:rPr>
        <w:t xml:space="preserve">* 6.4.16 Comau SpA</w:t>
      </w:r>
    </w:p>
    <w:p>
      <w:pPr/>
      <w:r>
        <w:rPr>
          <w:rFonts w:ascii="Helvetica" w:hAnsi="Helvetica" w:cs="Helvetica"/>
          <w:sz w:val="24"/>
          <w:sz-cs w:val="24"/>
          <w:spacing w:val="0"/>
          <w:color w:val="000000"/>
        </w:rPr>
        <w:t xml:space="preserve">* 6.4.17 Hyundai Robotics</w:t>
      </w:r>
    </w:p>
    <w:p>
      <w:pPr/>
      <w:r>
        <w:rPr>
          <w:rFonts w:ascii="Helvetica" w:hAnsi="Helvetica" w:cs="Helvetica"/>
          <w:sz w:val="24"/>
          <w:sz-cs w:val="24"/>
          <w:spacing w:val="0"/>
          <w:color w:val="000000"/>
        </w:rPr>
        <w:t xml:space="preserve">* 6.4.18 Festo SE and Co.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Collaborative Robots Market Report ScopeCollaborative robots are designed to work with humans and are built with safety features such as integrated sensors, passive compliance, and overcurrent detection. The integrated sensors feel external forces, and if the force is too high, they halt the robot's movement.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Collaborative Robots Market is segmented by payload (less than 5 kg, 5-9 kg, 10-20 kg, and more than 20 kg), end-user industry (electronics, automotive, manufacturing, food and beverage, chemicals and pharmaceutical), application (material handling, pick and place, assembly, palletizing &amp; de-palletizing), and geography (North America (United States, Canada), Europe (United Kingdom, Germany, France, Rest of Europe ), Asia Pacific (China, India, Japan, Rest of Asia Pacific) Latin America (Brazil, Mexico, Rest of Latin America), and Middle East and Africa (United Arab Emirates, Saudi Arabia, Rest of Middle East and Africa)). The market sizes and forecasts are provided in terms of value in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PayloadLess than 5 kg | </w:t>
      </w:r>
    </w:p>
    <w:p>
      <w:pPr/>
      <w:r>
        <w:rPr>
          <w:rFonts w:ascii="Helvetica" w:hAnsi="Helvetica" w:cs="Helvetica"/>
          <w:sz w:val="24"/>
          <w:sz-cs w:val="24"/>
          <w:spacing w:val="0"/>
          <w:color w:val="000000"/>
        </w:rPr>
        <w:t xml:space="preserve">5 - 9 kg | </w:t>
      </w:r>
    </w:p>
    <w:p>
      <w:pPr/>
      <w:r>
        <w:rPr>
          <w:rFonts w:ascii="Helvetica" w:hAnsi="Helvetica" w:cs="Helvetica"/>
          <w:sz w:val="24"/>
          <w:sz-cs w:val="24"/>
          <w:spacing w:val="0"/>
          <w:color w:val="000000"/>
        </w:rPr>
        <w:t xml:space="preserve">10 - 20 kg | </w:t>
      </w:r>
    </w:p>
    <w:p>
      <w:pPr/>
      <w:r>
        <w:rPr>
          <w:rFonts w:ascii="Helvetica" w:hAnsi="Helvetica" w:cs="Helvetica"/>
          <w:sz w:val="24"/>
          <w:sz-cs w:val="24"/>
          <w:spacing w:val="0"/>
          <w:color w:val="000000"/>
        </w:rPr>
        <w:t xml:space="preserve">More than 20 kg | </w:t>
      </w:r>
    </w:p>
    <w:p>
      <w:pPr/>
      <w:r>
        <w:rPr>
          <w:rFonts w:ascii="Helvetica" w:hAnsi="Helvetica" w:cs="Helvetica"/>
          <w:sz w:val="24"/>
          <w:sz-cs w:val="24"/>
          <w:spacing w:val="0"/>
          <w:color w:val="000000"/>
        </w:rPr>
        <w:t xml:space="preserve">By ComponentHardware | </w:t>
      </w:r>
    </w:p>
    <w:p>
      <w:pPr/>
      <w:r>
        <w:rPr>
          <w:rFonts w:ascii="Helvetica" w:hAnsi="Helvetica" w:cs="Helvetica"/>
          <w:sz w:val="24"/>
          <w:sz-cs w:val="24"/>
          <w:spacing w:val="0"/>
          <w:color w:val="000000"/>
        </w:rPr>
        <w:t xml:space="preserve">Software | </w:t>
      </w:r>
    </w:p>
    <w:p>
      <w:pPr/>
      <w:r>
        <w:rPr>
          <w:rFonts w:ascii="Helvetica" w:hAnsi="Helvetica" w:cs="Helvetica"/>
          <w:sz w:val="24"/>
          <w:sz-cs w:val="24"/>
          <w:spacing w:val="0"/>
          <w:color w:val="000000"/>
        </w:rPr>
        <w:t xml:space="preserve">Services | Consulting and Integration | </w:t>
      </w:r>
    </w:p>
    <w:p>
      <w:pPr/>
      <w:r>
        <w:rPr>
          <w:rFonts w:ascii="Helvetica" w:hAnsi="Helvetica" w:cs="Helvetica"/>
          <w:sz w:val="24"/>
          <w:sz-cs w:val="24"/>
          <w:spacing w:val="0"/>
          <w:color w:val="000000"/>
        </w:rPr>
        <w:t xml:space="preserve"> | Maintenance and Training | </w:t>
      </w:r>
    </w:p>
    <w:p>
      <w:pPr/>
      <w:r>
        <w:rPr>
          <w:rFonts w:ascii="Helvetica" w:hAnsi="Helvetica" w:cs="Helvetica"/>
          <w:sz w:val="24"/>
          <w:sz-cs w:val="24"/>
          <w:spacing w:val="0"/>
          <w:color w:val="000000"/>
        </w:rPr>
        <w:t xml:space="preserve">By ApplicationMaterial Handling | </w:t>
      </w:r>
    </w:p>
    <w:p>
      <w:pPr/>
      <w:r>
        <w:rPr>
          <w:rFonts w:ascii="Helvetica" w:hAnsi="Helvetica" w:cs="Helvetica"/>
          <w:sz w:val="24"/>
          <w:sz-cs w:val="24"/>
          <w:spacing w:val="0"/>
          <w:color w:val="000000"/>
        </w:rPr>
        <w:t xml:space="preserve">Pick and Place | </w:t>
      </w:r>
    </w:p>
    <w:p>
      <w:pPr/>
      <w:r>
        <w:rPr>
          <w:rFonts w:ascii="Helvetica" w:hAnsi="Helvetica" w:cs="Helvetica"/>
          <w:sz w:val="24"/>
          <w:sz-cs w:val="24"/>
          <w:spacing w:val="0"/>
          <w:color w:val="000000"/>
        </w:rPr>
        <w:t xml:space="preserve">Assembly | </w:t>
      </w:r>
    </w:p>
    <w:p>
      <w:pPr/>
      <w:r>
        <w:rPr>
          <w:rFonts w:ascii="Helvetica" w:hAnsi="Helvetica" w:cs="Helvetica"/>
          <w:sz w:val="24"/>
          <w:sz-cs w:val="24"/>
          <w:spacing w:val="0"/>
          <w:color w:val="000000"/>
        </w:rPr>
        <w:t xml:space="preserve">Palletizing and De-palletizing | </w:t>
      </w:r>
    </w:p>
    <w:p>
      <w:pPr/>
      <w:r>
        <w:rPr>
          <w:rFonts w:ascii="Helvetica" w:hAnsi="Helvetica" w:cs="Helvetica"/>
          <w:sz w:val="24"/>
          <w:sz-cs w:val="24"/>
          <w:spacing w:val="0"/>
          <w:color w:val="000000"/>
        </w:rPr>
        <w:t xml:space="preserve">Welding and Soldering | </w:t>
      </w:r>
    </w:p>
    <w:p>
      <w:pPr/>
      <w:r>
        <w:rPr>
          <w:rFonts w:ascii="Helvetica" w:hAnsi="Helvetica" w:cs="Helvetica"/>
          <w:sz w:val="24"/>
          <w:sz-cs w:val="24"/>
          <w:spacing w:val="0"/>
          <w:color w:val="000000"/>
        </w:rPr>
        <w:t xml:space="preserve">Quality Testing and Inspection | </w:t>
      </w:r>
    </w:p>
    <w:p>
      <w:pPr/>
      <w:r>
        <w:rPr>
          <w:rFonts w:ascii="Helvetica" w:hAnsi="Helvetica" w:cs="Helvetica"/>
          <w:sz w:val="24"/>
          <w:sz-cs w:val="24"/>
          <w:spacing w:val="0"/>
          <w:color w:val="000000"/>
        </w:rPr>
        <w:t xml:space="preserve">Packaging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End-user IndustryAutomotive | </w:t>
      </w:r>
    </w:p>
    <w:p>
      <w:pPr/>
      <w:r>
        <w:rPr>
          <w:rFonts w:ascii="Helvetica" w:hAnsi="Helvetica" w:cs="Helvetica"/>
          <w:sz w:val="24"/>
          <w:sz-cs w:val="24"/>
          <w:spacing w:val="0"/>
          <w:color w:val="000000"/>
        </w:rPr>
        <w:t xml:space="preserve">Electronics and Semiconductors | </w:t>
      </w:r>
    </w:p>
    <w:p>
      <w:pPr/>
      <w:r>
        <w:rPr>
          <w:rFonts w:ascii="Helvetica" w:hAnsi="Helvetica" w:cs="Helvetica"/>
          <w:sz w:val="24"/>
          <w:sz-cs w:val="24"/>
          <w:spacing w:val="0"/>
          <w:color w:val="000000"/>
        </w:rPr>
        <w:t xml:space="preserve">General Manufacturing | </w:t>
      </w:r>
    </w:p>
    <w:p>
      <w:pPr/>
      <w:r>
        <w:rPr>
          <w:rFonts w:ascii="Helvetica" w:hAnsi="Helvetica" w:cs="Helvetica"/>
          <w:sz w:val="24"/>
          <w:sz-cs w:val="24"/>
          <w:spacing w:val="0"/>
          <w:color w:val="000000"/>
        </w:rPr>
        <w:t xml:space="preserve">Food and Beverage | </w:t>
      </w:r>
    </w:p>
    <w:p>
      <w:pPr/>
      <w:r>
        <w:rPr>
          <w:rFonts w:ascii="Helvetica" w:hAnsi="Helvetica" w:cs="Helvetica"/>
          <w:sz w:val="24"/>
          <w:sz-cs w:val="24"/>
          <w:spacing w:val="0"/>
          <w:color w:val="000000"/>
        </w:rPr>
        <w:t xml:space="preserve">Chemicals and Pharmaceuticals | </w:t>
      </w:r>
    </w:p>
    <w:p>
      <w:pPr/>
      <w:r>
        <w:rPr>
          <w:rFonts w:ascii="Helvetica" w:hAnsi="Helvetica" w:cs="Helvetica"/>
          <w:sz w:val="24"/>
          <w:sz-cs w:val="24"/>
          <w:spacing w:val="0"/>
          <w:color w:val="000000"/>
        </w:rPr>
        <w:t xml:space="preserve">Logistics and E-commerce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Metals and Machining | </w:t>
      </w:r>
    </w:p>
    <w:p>
      <w:pPr/>
      <w:r>
        <w:rPr>
          <w:rFonts w:ascii="Helvetica" w:hAnsi="Helvetica" w:cs="Helvetica"/>
          <w:sz w:val="24"/>
          <w:sz-cs w:val="24"/>
          <w:spacing w:val="0"/>
          <w:color w:val="000000"/>
        </w:rPr>
        <w:t xml:space="preserve">Other Industries | </w:t>
      </w:r>
    </w:p>
    <w:p>
      <w:pPr/>
      <w:r>
        <w:rPr>
          <w:rFonts w:ascii="Helvetica" w:hAnsi="Helvetica" w:cs="Helvetica"/>
          <w:sz w:val="24"/>
          <w:sz-cs w:val="24"/>
          <w:spacing w:val="0"/>
          <w:color w:val="000000"/>
        </w:rPr>
        <w:t xml:space="preserve">By Programming Method (qualitative only)Hand-Guiding / Direct Teaching | </w:t>
      </w:r>
    </w:p>
    <w:p>
      <w:pPr/>
      <w:r>
        <w:rPr>
          <w:rFonts w:ascii="Helvetica" w:hAnsi="Helvetica" w:cs="Helvetica"/>
          <w:sz w:val="24"/>
          <w:sz-cs w:val="24"/>
          <w:spacing w:val="0"/>
          <w:color w:val="000000"/>
        </w:rPr>
        <w:t xml:space="preserve">Lead-through Teaching | </w:t>
      </w:r>
    </w:p>
    <w:p>
      <w:pPr/>
      <w:r>
        <w:rPr>
          <w:rFonts w:ascii="Helvetica" w:hAnsi="Helvetica" w:cs="Helvetica"/>
          <w:sz w:val="24"/>
          <w:sz-cs w:val="24"/>
          <w:spacing w:val="0"/>
          <w:color w:val="000000"/>
        </w:rPr>
        <w:t xml:space="preserve">Offline Programming and Simulation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Nordics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Middle East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Payload | Less than 5 kg | </w:t>
      </w:r>
    </w:p>
    <w:p>
      <w:pPr/>
      <w:r>
        <w:rPr>
          <w:rFonts w:ascii="Helvetica" w:hAnsi="Helvetica" w:cs="Helvetica"/>
          <w:sz w:val="24"/>
          <w:sz-cs w:val="24"/>
          <w:spacing w:val="0"/>
          <w:color w:val="000000"/>
        </w:rPr>
        <w:t xml:space="preserve"> | 5 - 9 kg | </w:t>
      </w:r>
    </w:p>
    <w:p>
      <w:pPr/>
      <w:r>
        <w:rPr>
          <w:rFonts w:ascii="Helvetica" w:hAnsi="Helvetica" w:cs="Helvetica"/>
          <w:sz w:val="24"/>
          <w:sz-cs w:val="24"/>
          <w:spacing w:val="0"/>
          <w:color w:val="000000"/>
        </w:rPr>
        <w:t xml:space="preserve"> | 10 - 20 kg | </w:t>
      </w:r>
    </w:p>
    <w:p>
      <w:pPr/>
      <w:r>
        <w:rPr>
          <w:rFonts w:ascii="Helvetica" w:hAnsi="Helvetica" w:cs="Helvetica"/>
          <w:sz w:val="24"/>
          <w:sz-cs w:val="24"/>
          <w:spacing w:val="0"/>
          <w:color w:val="000000"/>
        </w:rPr>
        <w:t xml:space="preserve"> | More than 20 kg | </w:t>
      </w:r>
    </w:p>
    <w:p>
      <w:pPr/>
      <w:r>
        <w:rPr>
          <w:rFonts w:ascii="Helvetica" w:hAnsi="Helvetica" w:cs="Helvetica"/>
          <w:sz w:val="24"/>
          <w:sz-cs w:val="24"/>
          <w:spacing w:val="0"/>
          <w:color w:val="000000"/>
        </w:rPr>
        <w:t xml:space="preserve">By Component | Hardware | </w:t>
      </w:r>
    </w:p>
    <w:p>
      <w:pPr/>
      <w:r>
        <w:rPr>
          <w:rFonts w:ascii="Helvetica" w:hAnsi="Helvetica" w:cs="Helvetica"/>
          <w:sz w:val="24"/>
          <w:sz-cs w:val="24"/>
          <w:spacing w:val="0"/>
          <w:color w:val="000000"/>
        </w:rPr>
        <w:t xml:space="preserve"> | Software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Services | Consulting and Integration | </w:t>
      </w:r>
    </w:p>
    <w:p>
      <w:pPr/>
      <w:r>
        <w:rPr>
          <w:rFonts w:ascii="Helvetica" w:hAnsi="Helvetica" w:cs="Helvetica"/>
          <w:sz w:val="24"/>
          <w:sz-cs w:val="24"/>
          <w:spacing w:val="0"/>
          <w:color w:val="000000"/>
        </w:rPr>
        <w:t xml:space="preserve"> | | Maintenance and Training | </w:t>
      </w:r>
    </w:p>
    <w:p>
      <w:pPr/>
      <w:r>
        <w:rPr>
          <w:rFonts w:ascii="Helvetica" w:hAnsi="Helvetica" w:cs="Helvetica"/>
          <w:sz w:val="24"/>
          <w:sz-cs w:val="24"/>
          <w:spacing w:val="0"/>
          <w:color w:val="000000"/>
        </w:rPr>
        <w:t xml:space="preserve">By Application | Material Handling | </w:t>
      </w:r>
    </w:p>
    <w:p>
      <w:pPr/>
      <w:r>
        <w:rPr>
          <w:rFonts w:ascii="Helvetica" w:hAnsi="Helvetica" w:cs="Helvetica"/>
          <w:sz w:val="24"/>
          <w:sz-cs w:val="24"/>
          <w:spacing w:val="0"/>
          <w:color w:val="000000"/>
        </w:rPr>
        <w:t xml:space="preserve"> | Pick and Place | </w:t>
      </w:r>
    </w:p>
    <w:p>
      <w:pPr/>
      <w:r>
        <w:rPr>
          <w:rFonts w:ascii="Helvetica" w:hAnsi="Helvetica" w:cs="Helvetica"/>
          <w:sz w:val="24"/>
          <w:sz-cs w:val="24"/>
          <w:spacing w:val="0"/>
          <w:color w:val="000000"/>
        </w:rPr>
        <w:t xml:space="preserve"> | Assembly | </w:t>
      </w:r>
    </w:p>
    <w:p>
      <w:pPr/>
      <w:r>
        <w:rPr>
          <w:rFonts w:ascii="Helvetica" w:hAnsi="Helvetica" w:cs="Helvetica"/>
          <w:sz w:val="24"/>
          <w:sz-cs w:val="24"/>
          <w:spacing w:val="0"/>
          <w:color w:val="000000"/>
        </w:rPr>
        <w:t xml:space="preserve"> | Palletizing and De-palletizing | </w:t>
      </w:r>
    </w:p>
    <w:p>
      <w:pPr/>
      <w:r>
        <w:rPr>
          <w:rFonts w:ascii="Helvetica" w:hAnsi="Helvetica" w:cs="Helvetica"/>
          <w:sz w:val="24"/>
          <w:sz-cs w:val="24"/>
          <w:spacing w:val="0"/>
          <w:color w:val="000000"/>
        </w:rPr>
        <w:t xml:space="preserve"> | Welding and Soldering | </w:t>
      </w:r>
    </w:p>
    <w:p>
      <w:pPr/>
      <w:r>
        <w:rPr>
          <w:rFonts w:ascii="Helvetica" w:hAnsi="Helvetica" w:cs="Helvetica"/>
          <w:sz w:val="24"/>
          <w:sz-cs w:val="24"/>
          <w:spacing w:val="0"/>
          <w:color w:val="000000"/>
        </w:rPr>
        <w:t xml:space="preserve"> | Quality Testing and Inspection | </w:t>
      </w:r>
    </w:p>
    <w:p>
      <w:pPr/>
      <w:r>
        <w:rPr>
          <w:rFonts w:ascii="Helvetica" w:hAnsi="Helvetica" w:cs="Helvetica"/>
          <w:sz w:val="24"/>
          <w:sz-cs w:val="24"/>
          <w:spacing w:val="0"/>
          <w:color w:val="000000"/>
        </w:rPr>
        <w:t xml:space="preserve"> | Packaging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End-user Industry | Automotive | </w:t>
      </w:r>
    </w:p>
    <w:p>
      <w:pPr/>
      <w:r>
        <w:rPr>
          <w:rFonts w:ascii="Helvetica" w:hAnsi="Helvetica" w:cs="Helvetica"/>
          <w:sz w:val="24"/>
          <w:sz-cs w:val="24"/>
          <w:spacing w:val="0"/>
          <w:color w:val="000000"/>
        </w:rPr>
        <w:t xml:space="preserve"> | Electronics and Semiconductors | </w:t>
      </w:r>
    </w:p>
    <w:p>
      <w:pPr/>
      <w:r>
        <w:rPr>
          <w:rFonts w:ascii="Helvetica" w:hAnsi="Helvetica" w:cs="Helvetica"/>
          <w:sz w:val="24"/>
          <w:sz-cs w:val="24"/>
          <w:spacing w:val="0"/>
          <w:color w:val="000000"/>
        </w:rPr>
        <w:t xml:space="preserve"> | General Manufacturing | </w:t>
      </w:r>
    </w:p>
    <w:p>
      <w:pPr/>
      <w:r>
        <w:rPr>
          <w:rFonts w:ascii="Helvetica" w:hAnsi="Helvetica" w:cs="Helvetica"/>
          <w:sz w:val="24"/>
          <w:sz-cs w:val="24"/>
          <w:spacing w:val="0"/>
          <w:color w:val="000000"/>
        </w:rPr>
        <w:t xml:space="preserve"> | Food and Beverage | </w:t>
      </w:r>
    </w:p>
    <w:p>
      <w:pPr/>
      <w:r>
        <w:rPr>
          <w:rFonts w:ascii="Helvetica" w:hAnsi="Helvetica" w:cs="Helvetica"/>
          <w:sz w:val="24"/>
          <w:sz-cs w:val="24"/>
          <w:spacing w:val="0"/>
          <w:color w:val="000000"/>
        </w:rPr>
        <w:t xml:space="preserve"> | Chemicals and Pharmaceuticals | </w:t>
      </w:r>
    </w:p>
    <w:p>
      <w:pPr/>
      <w:r>
        <w:rPr>
          <w:rFonts w:ascii="Helvetica" w:hAnsi="Helvetica" w:cs="Helvetica"/>
          <w:sz w:val="24"/>
          <w:sz-cs w:val="24"/>
          <w:spacing w:val="0"/>
          <w:color w:val="000000"/>
        </w:rPr>
        <w:t xml:space="preserve"> | Logistics and E-commerce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Metals and Machining | </w:t>
      </w:r>
    </w:p>
    <w:p>
      <w:pPr/>
      <w:r>
        <w:rPr>
          <w:rFonts w:ascii="Helvetica" w:hAnsi="Helvetica" w:cs="Helvetica"/>
          <w:sz w:val="24"/>
          <w:sz-cs w:val="24"/>
          <w:spacing w:val="0"/>
          <w:color w:val="000000"/>
        </w:rPr>
        <w:t xml:space="preserve"> | Other Industries | </w:t>
      </w:r>
    </w:p>
    <w:p>
      <w:pPr/>
      <w:r>
        <w:rPr>
          <w:rFonts w:ascii="Helvetica" w:hAnsi="Helvetica" w:cs="Helvetica"/>
          <w:sz w:val="24"/>
          <w:sz-cs w:val="24"/>
          <w:spacing w:val="0"/>
          <w:color w:val="000000"/>
        </w:rPr>
        <w:t xml:space="preserve">By Programming Method (qualitative only) | Hand-Guiding / Direct Teaching | </w:t>
      </w:r>
    </w:p>
    <w:p>
      <w:pPr/>
      <w:r>
        <w:rPr>
          <w:rFonts w:ascii="Helvetica" w:hAnsi="Helvetica" w:cs="Helvetica"/>
          <w:sz w:val="24"/>
          <w:sz-cs w:val="24"/>
          <w:spacing w:val="0"/>
          <w:color w:val="000000"/>
        </w:rPr>
        <w:t xml:space="preserve"> | Lead-through Teaching | </w:t>
      </w:r>
    </w:p>
    <w:p>
      <w:pPr/>
      <w:r>
        <w:rPr>
          <w:rFonts w:ascii="Helvetica" w:hAnsi="Helvetica" w:cs="Helvetica"/>
          <w:sz w:val="24"/>
          <w:sz-cs w:val="24"/>
          <w:spacing w:val="0"/>
          <w:color w:val="000000"/>
        </w:rPr>
        <w:t xml:space="preserve"> | Offline Programming and Simulation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Nordics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current collaborative robot market size in 2026? The collaborative robot market size stands at USD 2.28 billion in 2026 and is on track to reach USD 5.72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payload segment is growing fastest? Cobots with 10-20 kg payloads are expanding at a 22.95% CAGR as manufacturers automate heavier assembly and palletizing tasks.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cobots gaining traction in warehouses? Flexible deployment, safe human interaction, and rapid scalability make cobots ideal for e-commerce fulfillment peaks, evidenced by DHLâ€™s multi-site roll-out of 5,000 units.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updated ISO/TS 15066 standards affect adoption? Clarified safety thresholds reduce liability and shorten certification timelines, encouraging insurers and regulators to support new installations.</w:t>
      </w:r>
    </w:p>
    <w:p>
      <w:pPr/>
      <w:r>
        <w:rPr>
          <w:rFonts w:ascii="Helvetica" w:hAnsi="Helvetica" w:cs="Helvetica"/>
          <w:sz w:val="24"/>
          <w:sz-cs w:val="24"/>
          <w:spacing w:val="0"/>
          <w:color w:val="000000"/>
        </w:rPr>
        <w:t xml:space="preserve">Related Reports Explore More ReportsArticulated Robot MarketMarket Outlook for Commercial RoboticsDomestic Service Robots Market TrendsMarket Data for Personal RobotsMarket Report on Programmable RobotsRobot Software Market ReportModular Robotics IndustryHuman-AI Collaborative Work Systems IndustryHumanoid Robot GPU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