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Aircraft Aftermarket Parts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[https://www.mordorintelligence.com/industry-reports/commercial-aircraft-aftermarket](https://www.mordorintelligence.com/industry-reports/commercial-aircraft-aftermarket)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47.11 billion |</w:t>
      </w:r>
    </w:p>
    <w:p>
      <w:pPr/>
      <w:r>
        <w:rPr>
          <w:rFonts w:ascii="Helvetica Light" w:hAnsi="Helvetica Light" w:cs="Helvetica Light"/>
          <w:sz w:val="24"/>
          <w:sz-cs w:val="24"/>
        </w:rPr>
        <w:t xml:space="preserve">| **Projected Forecast (2031)** | USD 47.11 billion |</w:t>
      </w:r>
    </w:p>
    <w:p>
      <w:pPr/>
      <w:r>
        <w:rPr>
          <w:rFonts w:ascii="Helvetica Light" w:hAnsi="Helvetica Light" w:cs="Helvetica Light"/>
          <w:sz w:val="24"/>
          <w:sz-cs w:val="24"/>
        </w:rPr>
        <w:t xml:space="preserve">| **Growth Rate (CAGR)** | 5.55 %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Aircraft Aftermarket Parts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Share by Parts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47.11 Billion | </w:t>
      </w:r>
    </w:p>
    <w:p>
      <w:pPr/>
      <w:r>
        <w:rPr>
          <w:rFonts w:ascii="Helvetica Light" w:hAnsi="Helvetica Light" w:cs="Helvetica Light"/>
          <w:sz w:val="24"/>
          <w:sz-cs w:val="24"/>
        </w:rPr>
        <w:t xml:space="preserve">Market Size (2031) | USD 61.71 Billion | </w:t>
      </w:r>
    </w:p>
    <w:p>
      <w:pPr/>
      <w:r>
        <w:rPr>
          <w:rFonts w:ascii="Helvetica Light" w:hAnsi="Helvetica Light" w:cs="Helvetica Light"/>
          <w:sz w:val="24"/>
          <w:sz-cs w:val="24"/>
        </w:rPr>
        <w:t xml:space="preserve">Growth Rate (2026 - 2031) | 5.55 %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Market Analysis by Mordor IntelligenceThe commercial aircraft aftermarket parts market size is expected to grow from USD 44.63 billion in 2025 to USD 47.11 billion in 2026 and is projected to reach USD 61.71 billion by 2031 at a 5.55% CAGR. The growth path reflects persistent OEM delivery delays, aging narrowbody fleets staying in service longer, and higher shop-visit intensity on next‑generation engines. Airlines are expanding the use of serviceable material sourcing as a hedge against long lead times and high new‑part pricing. At the same time, digitization of parts planning and predictive maintenance supports improved uptime. Additive manufacturing reduces long-tail lead times for approved interior and secondary structure components, helping airlines and MROs balance inventory and service-level goals. Supply chain friction still adds cost and complexity, keeping the commercial aircraft aftermarket parts market focused on resiliency and life‑cycle support outcomes rather than transactional spot buys.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Backlogs and certification safeguards shape near‑term dynamics. A global order backlog that exceeds 17,000 aircraft extends the in‑service life of legacy fleets and sustains parts demand despite slower new‑build ramp rates. Airlines continue to absorb extra costs linked to supplier constraints, while regulators emphasize documentation and traceability for airworthiness-critical parts. OEMs strengthen digital channels and USM programs to stabilize availability, and leading MROs scale data-driven planning to keep aircraft on wing. This favors integrated ecosystems that combine physical parts, shop capacity, and connected analytics to protect operational reliability in the commercial aircraft aftermarket parts market.[1]Source: International Air Transport Association, “Aerospace Supply Chain Bottlenecks Continue to Constrain Airlines,” IATA, iata.org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platform, narrowbody aircraft led the commercial aircraft aftermarket parts market with 59.87% share in 2025, while widebody platforms are projected to expand at a 6.45% CAGR through 2031.</w:t>
      </w:r>
    </w:p>
    <w:p>
      <w:pPr/>
      <w:r>
        <w:rPr>
          <w:rFonts w:ascii="Helvetica Light" w:hAnsi="Helvetica Light" w:cs="Helvetica Light"/>
          <w:sz w:val="24"/>
          <w:sz-cs w:val="24"/>
        </w:rPr>
        <w:t xml:space="preserve">* By component type, engine components accounted for 48.70% of the commercial aircraft aftermarket parts market size in 2025, and avionics is projected to grow at a 6.35% CAGR through 2031.</w:t>
      </w:r>
    </w:p>
    <w:p>
      <w:pPr/>
      <w:r>
        <w:rPr>
          <w:rFonts w:ascii="Helvetica Light" w:hAnsi="Helvetica Light" w:cs="Helvetica Light"/>
          <w:sz w:val="24"/>
          <w:sz-cs w:val="24"/>
        </w:rPr>
        <w:t xml:space="preserve">* By parts category, MRO parts accounted for 58.20% of the commercial aircraft aftermarket parts market in 2025, while rotable replacement parts are projected to grow at a 5.87% CAGR through 2031. </w:t>
      </w:r>
    </w:p>
    <w:p>
      <w:pPr/>
      <w:r>
        <w:rPr>
          <w:rFonts w:ascii="Helvetica Light" w:hAnsi="Helvetica Light" w:cs="Helvetica Light"/>
          <w:sz w:val="24"/>
          <w:sz-cs w:val="24"/>
        </w:rPr>
        <w:t xml:space="preserve">* By end user, airlines and cargo operators held 69.80% of spending in 2025, while independent MRO providers are projected to record a 6.24% CAGR through 2031. </w:t>
      </w:r>
    </w:p>
    <w:p>
      <w:pPr/>
      <w:r>
        <w:rPr>
          <w:rFonts w:ascii="Helvetica Light" w:hAnsi="Helvetica Light" w:cs="Helvetica Light"/>
          <w:sz w:val="24"/>
          <w:sz-cs w:val="24"/>
        </w:rPr>
        <w:t xml:space="preserve">* By geography, North America accounted for 36.54% of the commercial aircraft aftermarket parts market size in 2025, and Asia-Pacific is projected to grow at a 7.10%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Aircraft Aftermarket Parts Market*Driver | (~) % Impact on CAGR Forecast | Geographic Relevance | Impact Timeline | </w:t>
      </w:r>
    </w:p>
    <w:p>
      <w:pPr/>
      <w:r>
        <w:rPr>
          <w:rFonts w:ascii="Helvetica Light" w:hAnsi="Helvetica Light" w:cs="Helvetica Light"/>
          <w:sz w:val="24"/>
          <w:sz-cs w:val="24"/>
        </w:rPr>
        <w:t xml:space="preserve">Aging global single-aisle fleet amid OEM production delays | +1.8% | Global, particularly acute in North America and Europe where fleet average age exceeds 14.5 years | Long term (≥ 4 years) | </w:t>
      </w:r>
    </w:p>
    <w:p>
      <w:pPr/>
      <w:r>
        <w:rPr>
          <w:rFonts w:ascii="Helvetica Light" w:hAnsi="Helvetica Light" w:cs="Helvetica Light"/>
          <w:sz w:val="24"/>
          <w:sz-cs w:val="24"/>
        </w:rPr>
        <w:t xml:space="preserve">Unscheduled shop visits from next-gen engine durability issues | +1.5% | Global, with highest concentration in Europe and Middle East operating GTF-powered fleets | Medium term (2-4 years) | </w:t>
      </w:r>
    </w:p>
    <w:p>
      <w:pPr/>
      <w:r>
        <w:rPr>
          <w:rFonts w:ascii="Helvetica Light" w:hAnsi="Helvetica Light" w:cs="Helvetica Light"/>
          <w:sz w:val="24"/>
          <w:sz-cs w:val="24"/>
        </w:rPr>
        <w:t xml:space="preserve">Rapid expansion of used-serviceable-material (USM) ecosystems | +0.9% | Global, spill-over effects strongest in Asia-Pacific and South America | Medium term (2-4 years) | </w:t>
      </w:r>
    </w:p>
    <w:p>
      <w:pPr/>
      <w:r>
        <w:rPr>
          <w:rFonts w:ascii="Helvetica Light" w:hAnsi="Helvetica Light" w:cs="Helvetica Light"/>
          <w:sz w:val="24"/>
          <w:sz-cs w:val="24"/>
        </w:rPr>
        <w:t xml:space="preserve">AI-enabled predictive maintenance improving parts planning | +0.7% | North America and Europe early adopters, expanding to Asia-Pacific core | Short term (≤ 2 years) | </w:t>
      </w:r>
    </w:p>
    <w:p>
      <w:pPr/>
      <w:r>
        <w:rPr>
          <w:rFonts w:ascii="Helvetica Light" w:hAnsi="Helvetica Light" w:cs="Helvetica Light"/>
          <w:sz w:val="24"/>
          <w:sz-cs w:val="24"/>
        </w:rPr>
        <w:t xml:space="preserve">On-demand 3D printing shortening long-tail parts lead-times | +0.4% | Global, concentrated in North America and Europe MRO hubs with EASA/FAA AM certifications | Medium term (2-4 years) | </w:t>
      </w:r>
    </w:p>
    <w:p>
      <w:pPr/>
      <w:r>
        <w:rPr>
          <w:rFonts w:ascii="Helvetica Light" w:hAnsi="Helvetica Light" w:cs="Helvetica Light"/>
          <w:sz w:val="24"/>
          <w:sz-cs w:val="24"/>
        </w:rPr>
        <w:t xml:space="preserve">Tariff-driven near-shoring of parts supply chains | +0.6% | North America primary, secondary impact in South America nearshore facilities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aftermarket parts market is semi‑consolidated. OEMs lead in next‑gen engine and avionics categories where proprietary repair processes and licensing shape what independents can do. At the same time, competitive openings persist on legacy fleets and across components and interiors, where approved independents, distributors, and USM providers add supply diversity. Airlines and MROs respond by mixing OEM channels with traceable USM and exchange pools that keep aircraft online. Digital procurement and predictive maintenance narrow planning windows and reduce expediting, shifting value toward integrated material and data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investments and partnerships remain active as providers scale capacity and technology. Pratt &amp; Whitney announced a USD 200 million expansion in Columbus, Georgia, to add forging capacity and increase throughput for critical rotating parts and MRO, helping relieve supply pressure that directly affects aftermarket turnaround. Boeing expanded its use of serviceable material capacity across its services portfolio, strengthening traceable alternatives for operators facing long lead times on select new parts. StandardAero expanded a primary MRO site to increase engine and avionics capabilities, which supports independent capacity growth in North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Additive manufacturing leaders continued to deliver certified interior parts that reduce lead time and weight, expanding the set of qualified components and materials within approved processes. Lufthansa Technik scaled digital platforms and component support contracts that embed predictive capabilities, pool access, and 24/7 AOG response for operators. Approvals from EASA and FAA for design and maintenance organizations are critical, as they enable engineering changes, service bulletin implementation, and large-scale component MRO activities. These factors underscore the significance of capacity, certification, and data in driving reliability and competitiveness within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Aftermarket Parts Industry Leaders*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Moog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Aircraft Aftermarket Parts Market Report ScopeThe commercial aircraft aftermarket parts market encompasses the production, remanufacturing, distribution, retail, and installation of replacement parts, equipment, and accessories. While these components are not necessarily from the original equipment manufacturer (OEM), they fall into two main categories: replacement parts, which focus on performance, and accessories, which cater to customization.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aftermarket parts market is segmented by platform, component type, parts category, end user, and geography. By platform, the market is segmented into narrowbody, widebody, and regional jets. By component type, the market is segmented into airframe, engine, interior, avionics, and others. By parts category, the market is segmented into MRO parts and rotable replacement parts. By end user, the market is segmented into airlines and cargo operators, independent MRO providers, and aircraft leasing companies. The report also covers the market sizes and forecasts for the commercial aircraft aftermarket parts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PlatformNarrowbody | </w:t>
      </w:r>
    </w:p>
    <w:p>
      <w:pPr/>
      <w:r>
        <w:rPr>
          <w:rFonts w:ascii="Helvetica Light" w:hAnsi="Helvetica Light" w:cs="Helvetica Light"/>
          <w:sz w:val="24"/>
          <w:sz-cs w:val="24"/>
        </w:rPr>
        <w:t xml:space="preserve">Widebody | </w:t>
      </w:r>
    </w:p>
    <w:p>
      <w:pPr/>
      <w:r>
        <w:rPr>
          <w:rFonts w:ascii="Helvetica Light" w:hAnsi="Helvetica Light" w:cs="Helvetica Light"/>
          <w:sz w:val="24"/>
          <w:sz-cs w:val="24"/>
        </w:rPr>
        <w:t xml:space="preserve">Regional Jets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Israel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size and growth outlook for the commercial aircraft aftermarket parts market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aftermarket parts market is expected to grow from USD 44.63 billion in 2025 to USD 47.11 billion in 2026 and is projected to reach USD 61.71 billion by 2031 at a 5.55% CAGR, reflecting aging fleets, OEM delivery delays, and stronger USM and predictive maintenance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contributes the most to spending in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Narrowbody aircraft lead with 59.87% share in 2025 due to high daily cycles and short‑haul route intensity that elevate demand for wheels, brakes, ECS, and line‑replaceable avionics.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component category accounts for the largest value in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Engine components hold 48.70% of value in 2025, supported by complex materials, hot‑section repairs, and control systems that require OEM‑authorized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the largest and which is the fastest growing in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the largest with 36.54% of value in 2025, while Asia Pacific is the fastest growing with a projected 7.10% CAGR to 2031 on rising fleet additions and restored international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USM and predictive maintenance changing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USM expands traceable, cost‑effective supply alternatives that reduce lead time exposure, while predictive maintenance improves early detection and inventory planning, which lowers unplanned removals and AOG exposure.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leading companies shaping strategies in the commercial aircraft aftermarket parts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Boeing Company, Airbus SE, RTX Corporation, GE Aerospace, and Honeywell International Inc. lead with integrated services, IP‑controlled repairs, and digital platforms, supported by independent MROs and distributors that expand capacity and parts availability.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