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Greenhouse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[https://www.mordorintelligence.com/industry-reports/commercial-greenhouse-market](https://www.mordorintelligence.com/industry-reports/commercial-greenhouse-market)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 Billion |</w:t>
      </w:r>
    </w:p>
    <w:p>
      <w:pPr/>
      <w:r>
        <w:rPr>
          <w:rFonts w:ascii="Helvetica Light" w:hAnsi="Helvetica Light" w:cs="Helvetica Light"/>
          <w:sz w:val="24"/>
          <w:sz-cs w:val="24"/>
        </w:rPr>
        <w:t xml:space="preserve">| **Projected Forecast (2031)** | USD 1.3 Billion |</w:t>
      </w:r>
    </w:p>
    <w:p>
      <w:pPr/>
      <w:r>
        <w:rPr>
          <w:rFonts w:ascii="Helvetica Light" w:hAnsi="Helvetica Light" w:cs="Helvetica Light"/>
          <w:sz w:val="24"/>
          <w:sz-cs w:val="24"/>
        </w:rPr>
        <w:t xml:space="preserve">| **Growth Rate (CAGR)** | 11.10 %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Greenhouse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Market Share by Equipment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Market Share by End 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51.40 Billion | </w:t>
      </w:r>
    </w:p>
    <w:p>
      <w:pPr/>
      <w:r>
        <w:rPr>
          <w:rFonts w:ascii="Helvetica Light" w:hAnsi="Helvetica Light" w:cs="Helvetica Light"/>
          <w:sz w:val="24"/>
          <w:sz-cs w:val="24"/>
        </w:rPr>
        <w:t xml:space="preserve">Market Size (2031) | USD 86.90 Billion | </w:t>
      </w:r>
    </w:p>
    <w:p>
      <w:pPr/>
      <w:r>
        <w:rPr>
          <w:rFonts w:ascii="Helvetica Light" w:hAnsi="Helvetica Light" w:cs="Helvetica Light"/>
          <w:sz w:val="24"/>
          <w:sz-cs w:val="24"/>
        </w:rPr>
        <w:t xml:space="preserve">Growth Rate (2026 - 2031) | 11.10 %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Market Analysis by Mordor IntelligenceThe commercial greenhouse market size is projected to be USD 46.3 billion in 2025, USD 51.4 billion in 2026, and reach USD 86.9 billion by 2031, growing at a CAGR of 11.1% from 2026 to 2031. The commercial greenhouse market is expanding because retailers and food-service buyers now need stable year-round produce volumes that open-field farming cannot deliver with the same consistency. Falling costs for controlled-environment agriculture (CEA) equipment are improving payback periods and drawing more capital into medium-tech and high-tech projects. The commercial greenhouse market is also expanding geographically, as waste-heat integration with industrial sites can improve energy economics in areas that were once difficult for protected cultivation. Growth still faces pressure from energy-price volatility and weak interoperability across lighting, climate, and fertigation systems in multi-vendor installations. Even with those limits, policy support, stricter buyer standards, and more capable artificial intelligence (AI)-driven controls are keeping the commercial greenhouse market on a strong growth path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equipment type, light-emitting diode (LED) grow lighting held the largest 30.2% share of the commercial greenhouse market in 2025, while climate control and automation software are the fastest-growing category at 13.2% through 2031.</w:t>
      </w:r>
    </w:p>
    <w:p>
      <w:pPr/>
      <w:r>
        <w:rPr>
          <w:rFonts w:ascii="Helvetica Light" w:hAnsi="Helvetica Light" w:cs="Helvetica Light"/>
          <w:sz w:val="24"/>
          <w:sz-cs w:val="24"/>
        </w:rPr>
        <w:t xml:space="preserve">* By crop type, Fruits and Vegetables accounted for 55.5% of the commercial greenhouse market size in 2025, while cannabis and specialty crops are the fastest-growing segment at 14.5% CAGR during 2026-2031.</w:t>
      </w:r>
    </w:p>
    <w:p>
      <w:pPr/>
      <w:r>
        <w:rPr>
          <w:rFonts w:ascii="Helvetica Light" w:hAnsi="Helvetica Light" w:cs="Helvetica Light"/>
          <w:sz w:val="24"/>
          <w:sz-cs w:val="24"/>
        </w:rPr>
        <w:t xml:space="preserve">* By greenhouse type, plastic-film greenhouses captured the largest 61.2% commercial greenhouse market share in 2025, while glass greenhouses are the fastest segment at 12.2% CAGR during 2026-2031.</w:t>
      </w:r>
    </w:p>
    <w:p>
      <w:pPr/>
      <w:r>
        <w:rPr>
          <w:rFonts w:ascii="Helvetica Light" w:hAnsi="Helvetica Light" w:cs="Helvetica Light"/>
          <w:sz w:val="24"/>
          <w:sz-cs w:val="24"/>
        </w:rPr>
        <w:t xml:space="preserve">* By cultivation technology, hydroponic systems held 54.4% of the commercial greenhouse market share in 2025, while hybrid and vertical integration are the fastest-growing segments at 11.2% CAGR during 2026-2031.</w:t>
      </w:r>
    </w:p>
    <w:p>
      <w:pPr/>
      <w:r>
        <w:rPr>
          <w:rFonts w:ascii="Helvetica Light" w:hAnsi="Helvetica Light" w:cs="Helvetica Light"/>
          <w:sz w:val="24"/>
          <w:sz-cs w:val="24"/>
        </w:rPr>
        <w:t xml:space="preserve">* By end user, commercial growers held the largest 55.3% share of the commercial greenhouse market in 2025, while research and educational institutes are the fastest-growing segment at a 13.5% CAGR during 2026-2031.</w:t>
      </w:r>
    </w:p>
    <w:p>
      <w:pPr/>
      <w:r>
        <w:rPr>
          <w:rFonts w:ascii="Helvetica Light" w:hAnsi="Helvetica Light" w:cs="Helvetica Light"/>
          <w:sz w:val="24"/>
          <w:sz-cs w:val="24"/>
        </w:rPr>
        <w:t xml:space="preserve">* By geography, North America held the largest 37.6% of the commercial greenhouse market share in 2025, while Asia-Pacific is the fastest region at 12.4%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Commercial Greenhouse Market*Driver | (~) % Impact on CAGR Forecast | Geographic Relevance | Impact Timeline | </w:t>
      </w:r>
    </w:p>
    <w:p>
      <w:pPr/>
      <w:r>
        <w:rPr>
          <w:rFonts w:ascii="Helvetica Light" w:hAnsi="Helvetica Light" w:cs="Helvetica Light"/>
          <w:sz w:val="24"/>
          <w:sz-cs w:val="24"/>
        </w:rPr>
        <w:t xml:space="preserve">Demand for year-round fresh produce | +1.6% | Global, with the strongest pull in North America, Western Europe, and urban East Asia, where retailers require dependable contracted supply | Short term (≤ 2 years) | </w:t>
      </w:r>
    </w:p>
    <w:p>
      <w:pPr/>
      <w:r>
        <w:rPr>
          <w:rFonts w:ascii="Helvetica Light" w:hAnsi="Helvetica Light" w:cs="Helvetica Light"/>
          <w:sz w:val="24"/>
          <w:sz-cs w:val="24"/>
        </w:rPr>
        <w:t xml:space="preserve">Climate-resilient production amid weather volatility | +1.9% | Strongest in South Asia, Southern Europe, the Middle East, and other regions where open-field output has become less reliable | Medium term (2-4 years) | </w:t>
      </w:r>
    </w:p>
    <w:p>
      <w:pPr/>
      <w:r>
        <w:rPr>
          <w:rFonts w:ascii="Helvetica Light" w:hAnsi="Helvetica Light" w:cs="Helvetica Light"/>
          <w:sz w:val="24"/>
          <w:sz-cs w:val="24"/>
        </w:rPr>
        <w:t xml:space="preserve">LED lighting, sensors, and climate-control automation | +1.8% | Most visible in the Netherlands, Canada, the United States, Japan, South Korea, China, and India | Medium term (2-4 years) | </w:t>
      </w:r>
    </w:p>
    <w:p>
      <w:pPr/>
      <w:r>
        <w:rPr>
          <w:rFonts w:ascii="Helvetica Light" w:hAnsi="Helvetica Light" w:cs="Helvetica Light"/>
          <w:sz w:val="24"/>
          <w:sz-cs w:val="24"/>
        </w:rPr>
        <w:t xml:space="preserve">Government support for protected cultivation and food security | +1.7% | Highest in Asia-Pacific and the Middle East, with meaningful support in North America and Europe | Long term (≥ 4 years) | </w:t>
      </w:r>
    </w:p>
    <w:p>
      <w:pPr/>
      <w:r>
        <w:rPr>
          <w:rFonts w:ascii="Helvetica Light" w:hAnsi="Helvetica Light" w:cs="Helvetica Light"/>
          <w:sz w:val="24"/>
          <w:sz-cs w:val="24"/>
        </w:rPr>
        <w:t xml:space="preserve">Retailer shelf-life and pesticide-residue requirements | +1.3% | Strong in North America, Western Europe, Japan, and selected Gulf retail chains | Short term (≤ 2 years) | </w:t>
      </w:r>
    </w:p>
    <w:p>
      <w:pPr/>
      <w:r>
        <w:rPr>
          <w:rFonts w:ascii="Helvetica Light" w:hAnsi="Helvetica Light" w:cs="Helvetica Light"/>
          <w:sz w:val="24"/>
          <w:sz-cs w:val="24"/>
        </w:rPr>
        <w:t xml:space="preserve">Waste-heat, carbon dioxide reuse, and flexible-energy monetization | +0.9% | Most relevant in the Netherlands, Denmark, Canada, Germany, Japan, and the United Arab Emirates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greenhouse market is moderately concentrated, with the top five market players accounting for a significant share in 2025. Prospiant LLC, Netafim Ltd., Richel Group, Certhon Build B.V., and KUBO Greenhouse Projects B.V. were the leading companies. However, none of these companies had full control over the entire value chain, encompassing structures and controls. This creates competition across different layers of the value chain, with turnkey builders competing on delivery and scale while software and controls firms compete on crop outcomes and integration. The commercial greenhouse market is characterized by a diverse supplier landscape, with no single supplier model or technology stack dominating. Factors such as regional presence, project suitability, and operational data capabilities are as significant as company size in determining success within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Signify N.V. enhanced its position in software and intelligent lighting management by updating its Philips GrowWise platform. These updates included spectrum control and greenhouse optimization features. Similarly, Priva Holding B.V. bolstered its autonomous growing capabilities in January 2025 through a multi-year agreement with Blue Radix, integrating artificial intelligence-based crop control with Priva process computers. Ridder advanced interoperability by enabling integration between Philips GrowWise lighting systems and Ridder Hortimax Pro using the Horti Lighting Protocol. These initiatives highlight a trend among vendors to evolve into integrated greenhouse operating platforms rather than remaining solely hardware providers. The market increasingly values suppliers that can reduce labor demands, enhance energy efficiency, and stabilize yields across crop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Certhon Build B.V. prioritized energy-efficient greenhouse infrastructure in 2025, incorporating advanced climate-control and energy-management systems into its projects. Priva Holding B.V. further expanded its digital ecosystem by integrating plant intelligence and greenhouse management platforms, enabling more data-driven cultivation decisions. The commercial greenhouse market continues to offer opportunities for arid-climate turnkey systems, interoperable software platforms, and operating models focused on water-use and energy-efficiency performance. These developments create space for specialist vendors, even as larger companies expand their ecosystems through partnerships and integration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Greenhouse Industry Leaders* Prospiant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Netafim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Richel Group SAS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Certhon Build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KUBO Greenhouse Projects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counts revenue generated by purpose-built glass or plastic structures where temperature, humidity, light, and fertigation are actively regulated to grow fruits, vegetables, flowers, ornamentals, herbs, and other specialty crops for sale to retailers, food-service buyers, or processors.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Backyard hobby houses and purely academic installations below 200 m² are not included.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Equipment Type* Heating Systems</w:t>
      </w:r>
    </w:p>
    <w:p>
      <w:pPr/>
      <w:r>
        <w:rPr>
          <w:rFonts w:ascii="Helvetica Light" w:hAnsi="Helvetica Light" w:cs="Helvetica Light"/>
          <w:sz w:val="24"/>
          <w:sz-cs w:val="24"/>
        </w:rPr>
        <w:t xml:space="preserve">* Cooling and Ventilation Systems</w:t>
      </w:r>
    </w:p>
    <w:p>
      <w:pPr/>
      <w:r>
        <w:rPr>
          <w:rFonts w:ascii="Helvetica Light" w:hAnsi="Helvetica Light" w:cs="Helvetica Light"/>
          <w:sz w:val="24"/>
          <w:sz-cs w:val="24"/>
        </w:rPr>
        <w:t xml:space="preserve">* LED Grow Lighting</w:t>
      </w:r>
    </w:p>
    <w:p>
      <w:pPr/>
      <w:r>
        <w:rPr>
          <w:rFonts w:ascii="Helvetica Light" w:hAnsi="Helvetica Light" w:cs="Helvetica Light"/>
          <w:sz w:val="24"/>
          <w:sz-cs w:val="24"/>
        </w:rPr>
        <w:t xml:space="preserve">* Irrigation and Fertigation Systems</w:t>
      </w:r>
    </w:p>
    <w:p>
      <w:pPr/>
      <w:r>
        <w:rPr>
          <w:rFonts w:ascii="Helvetica Light" w:hAnsi="Helvetica Light" w:cs="Helvetica Light"/>
          <w:sz w:val="24"/>
          <w:sz-cs w:val="24"/>
        </w:rPr>
        <w:t xml:space="preserve">* Climate Control and Automation Software</w:t>
      </w:r>
    </w:p>
    <w:p>
      <w:pPr/>
      <w:r>
        <w:rPr>
          <w:rFonts w:ascii="Helvetica Light" w:hAnsi="Helvetica Light" w:cs="Helvetica Light"/>
          <w:sz w:val="24"/>
          <w:sz-cs w:val="24"/>
        </w:rPr>
        <w:t xml:space="preserve">* Screening and Shading Systems</w:t>
      </w:r>
    </w:p>
    <w:p>
      <w:pPr/>
      <w:r>
        <w:rPr>
          <w:rFonts w:ascii="Helvetica Light" w:hAnsi="Helvetica Light" w:cs="Helvetica Light"/>
          <w:sz w:val="24"/>
          <w:sz-cs w:val="24"/>
        </w:rPr>
        <w:t xml:space="preserve">* Structural Components* Glazing Systems</w:t>
      </w:r>
    </w:p>
    <w:p>
      <w:pPr/>
      <w:r>
        <w:rPr>
          <w:rFonts w:ascii="Helvetica Light" w:hAnsi="Helvetica Light" w:cs="Helvetica Light"/>
          <w:sz w:val="24"/>
          <w:sz-cs w:val="24"/>
        </w:rPr>
        <w:t xml:space="preserve">* Frames and Trusses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Fruits and Vegetables* Tomatoes</w:t>
      </w:r>
    </w:p>
    <w:p>
      <w:pPr/>
      <w:r>
        <w:rPr>
          <w:rFonts w:ascii="Helvetica Light" w:hAnsi="Helvetica Light" w:cs="Helvetica Light"/>
          <w:sz w:val="24"/>
          <w:sz-cs w:val="24"/>
        </w:rPr>
        <w:t xml:space="preserve">* Cucumbers</w:t>
      </w:r>
    </w:p>
    <w:p>
      <w:pPr/>
      <w:r>
        <w:rPr>
          <w:rFonts w:ascii="Helvetica Light" w:hAnsi="Helvetica Light" w:cs="Helvetica Light"/>
          <w:sz w:val="24"/>
          <w:sz-cs w:val="24"/>
        </w:rPr>
        <w:t xml:space="preserve">* Lettuce and Leafy Greens</w:t>
      </w:r>
    </w:p>
    <w:p>
      <w:pPr/>
      <w:r>
        <w:rPr>
          <w:rFonts w:ascii="Helvetica Light" w:hAnsi="Helvetica Light" w:cs="Helvetica Light"/>
          <w:sz w:val="24"/>
          <w:sz-cs w:val="24"/>
        </w:rPr>
        <w:t xml:space="preserve">* Peppers</w:t>
      </w:r>
    </w:p>
    <w:p>
      <w:pPr/>
      <w:r>
        <w:rPr>
          <w:rFonts w:ascii="Helvetica Light" w:hAnsi="Helvetica Light" w:cs="Helvetica Light"/>
          <w:sz w:val="24"/>
          <w:sz-cs w:val="24"/>
        </w:rPr>
        <w:t xml:space="preserve">* Strawberries and Berries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Flowers and Ornamentals* Cut Flowers</w:t>
      </w:r>
    </w:p>
    <w:p>
      <w:pPr/>
      <w:r>
        <w:rPr>
          <w:rFonts w:ascii="Helvetica Light" w:hAnsi="Helvetica Light" w:cs="Helvetica Light"/>
          <w:sz w:val="24"/>
          <w:sz-cs w:val="24"/>
        </w:rPr>
        <w:t xml:space="preserve">* Potted Plants and Bedding Plants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Herbs and Microgreens</w:t>
      </w:r>
    </w:p>
    <w:p>
      <w:pPr/>
      <w:r>
        <w:rPr>
          <w:rFonts w:ascii="Helvetica Light" w:hAnsi="Helvetica Light" w:cs="Helvetica Light"/>
          <w:sz w:val="24"/>
          <w:sz-cs w:val="24"/>
        </w:rPr>
        <w:t xml:space="preserve">* Cannabis and Specialty Crops* Medical Cannabis</w:t>
      </w:r>
    </w:p>
    <w:p>
      <w:pPr/>
      <w:r>
        <w:rPr>
          <w:rFonts w:ascii="Helvetica Light" w:hAnsi="Helvetica Light" w:cs="Helvetica Light"/>
          <w:sz w:val="24"/>
          <w:sz-cs w:val="24"/>
        </w:rPr>
        <w:t xml:space="preserve">* Seedlings and Propagation Crops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Greenhouse Type* Glass Greenhouses</w:t>
      </w:r>
    </w:p>
    <w:p>
      <w:pPr/>
      <w:r>
        <w:rPr>
          <w:rFonts w:ascii="Helvetica Light" w:hAnsi="Helvetica Light" w:cs="Helvetica Light"/>
          <w:sz w:val="24"/>
          <w:sz-cs w:val="24"/>
        </w:rPr>
        <w:t xml:space="preserve">* Plastic-film Greenhouses</w:t>
      </w:r>
    </w:p>
    <w:p>
      <w:pPr/>
      <w:r>
        <w:rPr>
          <w:rFonts w:ascii="Helvetica Light" w:hAnsi="Helvetica Light" w:cs="Helvetica Light"/>
          <w:sz w:val="24"/>
          <w:sz-cs w:val="24"/>
        </w:rPr>
        <w:t xml:space="preserve">* Rigid Polycarbonate Greenhouses</w:t>
      </w:r>
    </w:p>
    <w:p>
      <w:pPr/>
      <w:r>
        <w:rPr>
          <w:rFonts w:ascii="Helvetica Light" w:hAnsi="Helvetica Light" w:cs="Helvetica Light"/>
          <w:sz w:val="24"/>
          <w:sz-cs w:val="24"/>
        </w:rPr>
        <w:t xml:space="preserve">* Hybrid and Semi-closed Greenhouses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Cultivation Technology* Hydroponic* Nutrient Film Technique</w:t>
      </w:r>
    </w:p>
    <w:p>
      <w:pPr/>
      <w:r>
        <w:rPr>
          <w:rFonts w:ascii="Helvetica Light" w:hAnsi="Helvetica Light" w:cs="Helvetica Light"/>
          <w:sz w:val="24"/>
          <w:sz-cs w:val="24"/>
        </w:rPr>
        <w:t xml:space="preserve">* Deep Water Culture</w:t>
      </w:r>
    </w:p>
    <w:p>
      <w:pPr/>
      <w:r>
        <w:rPr>
          <w:rFonts w:ascii="Helvetica Light" w:hAnsi="Helvetica Light" w:cs="Helvetica Light"/>
          <w:sz w:val="24"/>
          <w:sz-cs w:val="24"/>
        </w:rPr>
        <w:t xml:space="preserve">* Drip Hydroponics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Non-hydroponic Soil and Substrate* Soil-based</w:t>
      </w:r>
    </w:p>
    <w:p>
      <w:pPr/>
      <w:r>
        <w:rPr>
          <w:rFonts w:ascii="Helvetica Light" w:hAnsi="Helvetica Light" w:cs="Helvetica Light"/>
          <w:sz w:val="24"/>
          <w:sz-cs w:val="24"/>
        </w:rPr>
        <w:t xml:space="preserve">* Coco Coir and Rockwool Substrate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Hybrid and Vertical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Commercial Growers</w:t>
      </w:r>
    </w:p>
    <w:p>
      <w:pPr/>
      <w:r>
        <w:rPr>
          <w:rFonts w:ascii="Helvetica Light" w:hAnsi="Helvetica Light" w:cs="Helvetica Light"/>
          <w:sz w:val="24"/>
          <w:sz-cs w:val="24"/>
        </w:rPr>
        <w:t xml:space="preserve">* Research and Educational Institutes</w:t>
      </w:r>
    </w:p>
    <w:p>
      <w:pPr/>
      <w:r>
        <w:rPr>
          <w:rFonts w:ascii="Helvetica Light" w:hAnsi="Helvetica Light" w:cs="Helvetica Light"/>
          <w:sz w:val="24"/>
          <w:sz-cs w:val="24"/>
        </w:rPr>
        <w:t xml:space="preserve">* Retail Garden Centers and Nurseries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Netherlands</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outlook for commercial greenhouse operations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greenhouse market is projected to grow from USD 51.4 billion in 2026 to USD 86.9 billion by 2031, at a 11.1%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currently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projected to hold the largest regional share at 37.6% in 2025, driven by established retail channels and consistent year-round demand for produce.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crop group brings the most revenue in greenhouse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held the largest crop-type share at 55.5% in 2025, led by tomatoes, cucumbers, lettuce, and peppers.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cultivation approach is most widely used?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 Systems led with a 54.4% share in 2025 because they support water reuse, nutrient precision, and controlled root-zone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operating risk for greenhouse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Energy-cost volatility remains a major risk because heating, cooling, and lighting account for a heavy share of operating expenses, especially in high-tech glass facilities.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