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Insurance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[https://www.mordorintelligence.com/industry-reports/commercial-insurance-market](https://www.mordorintelligence.com/industry-reports/commercial-insurance-market)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1.56 trillion |</w:t>
      </w:r>
    </w:p>
    <w:p>
      <w:pPr/>
      <w:r>
        <w:rPr>
          <w:rFonts w:ascii="Helvetica Light" w:hAnsi="Helvetica Light" w:cs="Helvetica Light"/>
          <w:sz w:val="24"/>
          <w:sz-cs w:val="24"/>
        </w:rPr>
        <w:t xml:space="preserve">| **Projected Forecast (2031)** | USD 1.56 trillion |</w:t>
      </w:r>
    </w:p>
    <w:p>
      <w:pPr/>
      <w:r>
        <w:rPr>
          <w:rFonts w:ascii="Helvetica Light" w:hAnsi="Helvetica Light" w:cs="Helvetica Light"/>
          <w:sz w:val="24"/>
          <w:sz-cs w:val="24"/>
        </w:rPr>
        <w:t xml:space="preserve">| **Growth Rate (CAGR)** | 5.86 %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Insurance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Insurance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Insurance Market Share by Line of Business,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Insurance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Insurance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Insurance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1.56 Trillion | </w:t>
      </w:r>
    </w:p>
    <w:p>
      <w:pPr/>
      <w:r>
        <w:rPr>
          <w:rFonts w:ascii="Helvetica Light" w:hAnsi="Helvetica Light" w:cs="Helvetica Light"/>
          <w:sz w:val="24"/>
          <w:sz-cs w:val="24"/>
        </w:rPr>
        <w:t xml:space="preserve">Market Size (2031) | USD 2.07 Trillion | </w:t>
      </w:r>
    </w:p>
    <w:p>
      <w:pPr/>
      <w:r>
        <w:rPr>
          <w:rFonts w:ascii="Helvetica Light" w:hAnsi="Helvetica Light" w:cs="Helvetica Light"/>
          <w:sz w:val="24"/>
          <w:sz-cs w:val="24"/>
        </w:rPr>
        <w:t xml:space="preserve">Growth Rate (2026 - 2031) | 5.86 %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Insurance Market Analysis by Mordor IntelligenceThe Commercial Insurance Market size is expected to grow from USD 1.47 trillion in 2025 to USD 1.56 trillion in 2026 and is forecast to reach USD 2.07 trillion by 2031 at 5.86%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supported by a broader set of enterprise risks, especially cyber, climate, and liability exposures, which now affect smaller firms as much as large accounts. The commercial insurance market is also being boosted by proof-of-coverage requirements, stronger demand for specialty protection, and better digital access for smaller buyers who were harder to reach through traditional channels. Competition remains moderate because global carriers still lead large-account and specialty lines, while regional and niche insurers are gaining ground where underwriting capacity is available and pricing has eased. Carriers are also using AI-led underwriting and embedded distribution to improve access to underserved buyers, helping the commercial insurance industry move beyond its historical reliance on rate hardening alone. The main constraint remains casualty loss severity, as buyer resistance has become more pronounced amid high pricing across general liability and commercial auto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line of business, commercial property insurance captured 29.8% of the commercial insurance market share in 2025, while professional and financial lines are projected to grow at 8.8% CAGR through 2031.</w:t>
      </w:r>
    </w:p>
    <w:p>
      <w:pPr/>
      <w:r>
        <w:rPr>
          <w:rFonts w:ascii="Helvetica Light" w:hAnsi="Helvetica Light" w:cs="Helvetica Light"/>
          <w:sz w:val="24"/>
          <w:sz-cs w:val="24"/>
        </w:rPr>
        <w:t xml:space="preserve">* By enterprise size, large enterprises held 67.1% of the commercial insurance market share in 2025, while SMEs are projected to grow at 7.5% CAGR through 2031.</w:t>
      </w:r>
    </w:p>
    <w:p>
      <w:pPr/>
      <w:r>
        <w:rPr>
          <w:rFonts w:ascii="Helvetica Light" w:hAnsi="Helvetica Light" w:cs="Helvetica Light"/>
          <w:sz w:val="24"/>
          <w:sz-cs w:val="24"/>
        </w:rPr>
        <w:t xml:space="preserve">* By distribution channel, agents and brokers held 56.8% of the commercial insurance industry share in 2025, while digital platforms are projected to grow at 10.2% CAGR through 2031.</w:t>
      </w:r>
    </w:p>
    <w:p>
      <w:pPr/>
      <w:r>
        <w:rPr>
          <w:rFonts w:ascii="Helvetica Light" w:hAnsi="Helvetica Light" w:cs="Helvetica Light"/>
          <w:sz w:val="24"/>
          <w:sz-cs w:val="24"/>
        </w:rPr>
        <w:t xml:space="preserve">* By industry vertical, manufacturing accounted for 22.3% of the commercial insurance market share in 2025, while information technology and telecommunications are projected to grow at 9.2% CAGR through 2031.</w:t>
      </w:r>
    </w:p>
    <w:p>
      <w:pPr/>
      <w:r>
        <w:rPr>
          <w:rFonts w:ascii="Helvetica Light" w:hAnsi="Helvetica Light" w:cs="Helvetica Light"/>
          <w:sz w:val="24"/>
          <w:sz-cs w:val="24"/>
        </w:rPr>
        <w:t xml:space="preserve">* By geography, North America captured 41.6% of the commercial insurance market share in 2025, while Asia-Pacific is projected to grow at 7.9%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Commercial Insurance Market*Driver | (~) % Impact on CAGR Forecast | Geographic Relevance | Impact Timeline | </w:t>
      </w:r>
    </w:p>
    <w:p>
      <w:pPr/>
      <w:r>
        <w:rPr>
          <w:rFonts w:ascii="Helvetica Light" w:hAnsi="Helvetica Light" w:cs="Helvetica Light"/>
          <w:sz w:val="24"/>
          <w:sz-cs w:val="24"/>
        </w:rPr>
        <w:t xml:space="preserve">Rising Cyber Liability Buying Across SMEs and Mid-Market Firms | +1.2% | North America &amp; EU, Asia-Pacific core | Medium term (2-4 years) | </w:t>
      </w:r>
    </w:p>
    <w:p>
      <w:pPr/>
      <w:r>
        <w:rPr>
          <w:rFonts w:ascii="Helvetica Light" w:hAnsi="Helvetica Light" w:cs="Helvetica Light"/>
          <w:sz w:val="24"/>
          <w:sz-cs w:val="24"/>
        </w:rPr>
        <w:t xml:space="preserve">Climate Volatility Repricing Property and Business Interruption Risk | +0.9% | North America, Asia-Pacific, spill-over to MEA | Short term (≤ 2 years) | </w:t>
      </w:r>
    </w:p>
    <w:p>
      <w:pPr/>
      <w:r>
        <w:rPr>
          <w:rFonts w:ascii="Helvetica Light" w:hAnsi="Helvetica Light" w:cs="Helvetica Light"/>
          <w:sz w:val="24"/>
          <w:sz-cs w:val="24"/>
        </w:rPr>
        <w:t xml:space="preserve">Embedded Insurance and Digital Distribution Expanding Access for Small Businesses | +0.8% | Global, early gains in Asia-Pacific and EU | Medium term (2-4 years) | </w:t>
      </w:r>
    </w:p>
    <w:p>
      <w:pPr/>
      <w:r>
        <w:rPr>
          <w:rFonts w:ascii="Helvetica Light" w:hAnsi="Helvetica Light" w:cs="Helvetica Light"/>
          <w:sz w:val="24"/>
          <w:sz-cs w:val="24"/>
        </w:rPr>
        <w:t xml:space="preserve">Regulatory Proof-Of-Coverage Requirements Increasing Policy Penetration | +0.7% | Global | Short term (≤ 2 years) | </w:t>
      </w:r>
    </w:p>
    <w:p>
      <w:pPr/>
      <w:r>
        <w:rPr>
          <w:rFonts w:ascii="Helvetica Light" w:hAnsi="Helvetica Light" w:cs="Helvetica Light"/>
          <w:sz w:val="24"/>
          <w:sz-cs w:val="24"/>
        </w:rPr>
        <w:t xml:space="preserve">Parametric and Event-Triggered Covers Unlocking Uninsured Catastrophe Gaps | +0.4% | Asia-Pacific core, spill-over to MEA and Latin America | Medium term (2-4 years) | </w:t>
      </w:r>
    </w:p>
    <w:p>
      <w:pPr/>
      <w:r>
        <w:rPr>
          <w:rFonts w:ascii="Helvetica Light" w:hAnsi="Helvetica Light" w:cs="Helvetica Light"/>
          <w:sz w:val="24"/>
          <w:sz-cs w:val="24"/>
        </w:rPr>
        <w:t xml:space="preserve">AI-Driven Underwriting Improving Appetite for Thin-File Commercial Risks | +0.3% | North America &amp; EU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insurance market is characterized by large global insurers alongside numerous regional carriers, mutual insurers, and specialist underwriters serving diverse commercial risk segments. Companies such as Allianz, AXA, Chubb, Zurich Insurance Group, and The Travelers Companies maintain strong positions in large corporate and specialty insurance lines, while regional insurers and niche providers compete through industry expertise and tailored coverage solutions. Competition is increasingly driven by specialty underwriting capabilities, artificial intelligence-enabled risk assessment, and digital distribution partnerships that improve underwriting efficiency and customer experience. Growing demand for cyber insurance, climate risk solutions, and customized commercial coverage is creating opportunities for both established insurers and specialist providers. As a result, competitive differentiation is increasingly shaped by technology, underwriting expertise, product innovation, and distribution capabilities rather than scale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Zurich moved to strengthen its specialty position by filing in June 2026 with the European Commission for approval to acquire Beazley for USD 8.1 billion, which would create a combined specialty platform with around USD 15 billion in gross written premiums and targeted annual cost savings of USD 150 million by 2029. Allianz chose a different route in May 2026 by expanding its global cyber relationship with Coalition, giving the MGA lead responsibility for pricing, product development, risk mitigation, and claims management in standalone commercial cyber. Those two moves show that commercial insurance market leaders are not following a single model, because some are buying specialty scale while others are delegating specialist execution to technology-led partners. Chubb’s Q1 2026 results also showed the value of geographic diversification, with consolidated net premiums written rising to USD 14 billion and growth outside North America remaining particularly strong. This reinforces the point that leading carriers are balancing specialization with geographic spread as pricing conditions normalize.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Another major battleground in the commercial insurance market is underwriting efficiency, especially in SME cyber, parametric structures, and technology-sector liability. AIG’s agentic AI program has already processed more than 370,000 submissions, which suggests that underwriting speed and data enrichment are becoming important competitive assets rather than back-office improvements. Munich Re’s acquisition of NEXT Insurance sends a similar message from the distribution side, as the largest reinsurer moved directly into a digital-native small-business carrier to improve access to a fragmented buyer base. Newer players, including API-first MGAs and embedded insurance providers, are unlikely to displace incumbents in large accounts anytime soon. Still, they are steadily improving conversion economics where legacy models were weakest. Established carriers, therefore, lead the commercial insurance market, while the edges of competition are shifting toward firms that can combine capital strength with faster product delivery and lower acquisition cost.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Insurance Industry Leaders* Allianz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AXA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Chubb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Zurich Insurance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Travelers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Insurance Market Report ScopeBy Line of BusinessCommercial Property Insurance | </w:t>
      </w:r>
    </w:p>
    <w:p>
      <w:pPr/>
      <w:r>
        <w:rPr>
          <w:rFonts w:ascii="Helvetica Light" w:hAnsi="Helvetica Light" w:cs="Helvetica Light"/>
          <w:sz w:val="24"/>
          <w:sz-cs w:val="24"/>
        </w:rPr>
        <w:t xml:space="preserve">Commercial Liability Insurance | </w:t>
      </w:r>
    </w:p>
    <w:p>
      <w:pPr/>
      <w:r>
        <w:rPr>
          <w:rFonts w:ascii="Helvetica Light" w:hAnsi="Helvetica Light" w:cs="Helvetica Light"/>
          <w:sz w:val="24"/>
          <w:sz-cs w:val="24"/>
        </w:rPr>
        <w:t xml:space="preserve">Commercial Motor Insurance | </w:t>
      </w:r>
    </w:p>
    <w:p>
      <w:pPr/>
      <w:r>
        <w:rPr>
          <w:rFonts w:ascii="Helvetica Light" w:hAnsi="Helvetica Light" w:cs="Helvetica Light"/>
          <w:sz w:val="24"/>
          <w:sz-cs w:val="24"/>
        </w:rPr>
        <w:t xml:space="preserve">Professional and Financial Lines (D&amp;O, E&amp;O, etc.) | </w:t>
      </w:r>
    </w:p>
    <w:p>
      <w:pPr/>
      <w:r>
        <w:rPr>
          <w:rFonts w:ascii="Helvetica Light" w:hAnsi="Helvetica Light" w:cs="Helvetica Light"/>
          <w:sz w:val="24"/>
          <w:sz-cs w:val="24"/>
        </w:rPr>
        <w:t xml:space="preserve">Marine, Aviation and Transport (MAT) Insurance | </w:t>
      </w:r>
    </w:p>
    <w:p>
      <w:pPr/>
      <w:r>
        <w:rPr>
          <w:rFonts w:ascii="Helvetica Light" w:hAnsi="Helvetica Light" w:cs="Helvetica Light"/>
          <w:sz w:val="24"/>
          <w:sz-cs w:val="24"/>
        </w:rPr>
        <w:t xml:space="preserve">Workers’ Compensation and Employers’ Liability Insurance | </w:t>
      </w:r>
    </w:p>
    <w:p>
      <w:pPr/>
      <w:r>
        <w:rPr>
          <w:rFonts w:ascii="Helvetica Light" w:hAnsi="Helvetica Light" w:cs="Helvetica Light"/>
          <w:sz w:val="24"/>
          <w:sz-cs w:val="24"/>
        </w:rPr>
        <w:t xml:space="preserve">Other Specialty and Niche Lines (Trade Credit, Political Risk, Environmental Liability, Legal Expenses, Parametric,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2031 value outlook for commercial insurance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insurance market is expected to reach USD 2.1 trillion by 2031, rising from USD 1.6 trillion in 2026 at a 5.9%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geography leads global premium volume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41.6% share in 2025, supported by mandatory coverage, deep specialty capacity, and high litigation-driven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7.9% CAGR through 2031 as industrialization, infrastructure spending, and regulatory change broaden the insurable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line of business is the largest and which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property was the largest line with 29.8% share in 2025, while professional and financial lines are expected to grow fastest at 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SMEs becoming more important for carriers?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SMEs are projected to grow at 7.5% CAGR through 2031 because embedded insurance, AI underwriting, and digital platforms are lowering acquisition and servicing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technology changing underwriting and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Carriers are using AI to process submissions faster and improve thin-file risk selection, while digital and embedded channels are making it easier for smaller firms to discover and buy coverage.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