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Payments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Payments, Remittance &amp; Cards (Financial Services &amp; Investment Intelligence)  </w:t>
      </w:r>
    </w:p>
    <w:p>
      <w:pPr/>
      <w:r>
        <w:rPr>
          <w:rFonts w:ascii="Helvetica Light" w:hAnsi="Helvetica Light" w:cs="Helvetica Light"/>
          <w:sz w:val="24"/>
          <w:sz-cs w:val="24"/>
        </w:rPr>
        <w:t xml:space="preserve">&gt; **Source:** [https://www.mordorintelligence.com/industry-reports/commercial-payments-market](https://www.mordorintelligence.com/industry-reports/commercial-payments-market)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506.5 trillion |</w:t>
      </w:r>
    </w:p>
    <w:p>
      <w:pPr/>
      <w:r>
        <w:rPr>
          <w:rFonts w:ascii="Helvetica Light" w:hAnsi="Helvetica Light" w:cs="Helvetica Light"/>
          <w:sz w:val="24"/>
          <w:sz-cs w:val="24"/>
        </w:rPr>
        <w:t xml:space="preserve">| **Projected Forecast (2031)** | USD 506.5 trillion |</w:t>
      </w:r>
    </w:p>
    <w:p>
      <w:pPr/>
      <w:r>
        <w:rPr>
          <w:rFonts w:ascii="Helvetica Light" w:hAnsi="Helvetica Light" w:cs="Helvetica Light"/>
          <w:sz w:val="24"/>
          <w:sz-cs w:val="24"/>
        </w:rPr>
        <w:t xml:space="preserve">| **Growth Rate (CAGR)** | 4.37 %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Payments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Payments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Payments Market Share by Payment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Payments Market Share by Enterprise Size,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Payments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Payments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506.5 Trillion | </w:t>
      </w:r>
    </w:p>
    <w:p>
      <w:pPr/>
      <w:r>
        <w:rPr>
          <w:rFonts w:ascii="Helvetica Light" w:hAnsi="Helvetica Light" w:cs="Helvetica Light"/>
          <w:sz w:val="24"/>
          <w:sz-cs w:val="24"/>
        </w:rPr>
        <w:t xml:space="preserve">Market Size (2031) | USD 627.27 Trillion | </w:t>
      </w:r>
    </w:p>
    <w:p>
      <w:pPr/>
      <w:r>
        <w:rPr>
          <w:rFonts w:ascii="Helvetica Light" w:hAnsi="Helvetica Light" w:cs="Helvetica Light"/>
          <w:sz w:val="24"/>
          <w:sz-cs w:val="24"/>
        </w:rPr>
        <w:t xml:space="preserve">Growth Rate (2026 - 2031) | 4.37 %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Payments Market Analysis by Mordor IntelligenceThe Commercial Payments Market size is projected to expand from USD 486.35 trillion in 2025 and USD 506.5 trillion in 2026 to USD 627.27 trillion by 2031, registering a CAGR of 4.37%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payments market remains very large, but manual workflows, fragmented banking relationships, and legacy message formats continue to add processing costs. ERP-linked payment integration, embedded procurement workflows, and ISO 20022 data requirements are changing how corporate buyers initiate, trace, and reconcile transactions. Providers are placing greater emphasis on invoice matching, reconciliation, and working-capital tools around core payment rails. The commercial payments market is also becoming more competitive as bank-owned platforms and specialist fintech providers invest in embedded accounts payable automation. Firms with direct software integrations and structured-data capabilities are better placed to serve complex enterprise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payment type, domestic payments captured 72.16% of the commercial payments market share in 2025, while cross-border payments are projected to grow at a 6.21% CAGR through 2031.</w:t>
      </w:r>
    </w:p>
    <w:p>
      <w:pPr/>
      <w:r>
        <w:rPr>
          <w:rFonts w:ascii="Helvetica Light" w:hAnsi="Helvetica Light" w:cs="Helvetica Light"/>
          <w:sz w:val="24"/>
          <w:sz-cs w:val="24"/>
        </w:rPr>
        <w:t xml:space="preserve">* By payment method, bank transfers captured 79.45% of the commercial payments market share in 2025, while cards are projected to grow at a 9.34% CAGR through 2031.</w:t>
      </w:r>
    </w:p>
    <w:p>
      <w:pPr/>
      <w:r>
        <w:rPr>
          <w:rFonts w:ascii="Helvetica Light" w:hAnsi="Helvetica Light" w:cs="Helvetica Light"/>
          <w:sz w:val="24"/>
          <w:sz-cs w:val="24"/>
        </w:rPr>
        <w:t xml:space="preserve">* By enterprise size, large enterprises captured 67.88% of the commercial payments market share in 2025, while SMEs are projected to grow at a 5.96% CAGR through 2031.</w:t>
      </w:r>
    </w:p>
    <w:p>
      <w:pPr/>
      <w:r>
        <w:rPr>
          <w:rFonts w:ascii="Helvetica Light" w:hAnsi="Helvetica Light" w:cs="Helvetica Light"/>
          <w:sz w:val="24"/>
          <w:sz-cs w:val="24"/>
        </w:rPr>
        <w:t xml:space="preserve">* By industry vertical, manufacturing captured 21.05% of the share of the commercial payments market in 2025, while IT and Telecom is projected to grow at a 7.09% CAGR through 2031.</w:t>
      </w:r>
    </w:p>
    <w:p>
      <w:pPr/>
      <w:r>
        <w:rPr>
          <w:rFonts w:ascii="Helvetica Light" w:hAnsi="Helvetica Light" w:cs="Helvetica Light"/>
          <w:sz w:val="24"/>
          <w:sz-cs w:val="24"/>
        </w:rPr>
        <w:t xml:space="preserve">* By geography, Asia-Pacific held 48.75% of the commercial payments market share in 2025, while the Middle East and Africa are projected to grow at a 6.86%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Commercial Payments Market*Drivers | (~) % Impact on CAGR Forecast | Geographic Relevance | Impact Timeline | </w:t>
      </w:r>
    </w:p>
    <w:p>
      <w:pPr/>
      <w:r>
        <w:rPr>
          <w:rFonts w:ascii="Helvetica Light" w:hAnsi="Helvetica Light" w:cs="Helvetica Light"/>
          <w:sz w:val="24"/>
          <w:sz-cs w:val="24"/>
        </w:rPr>
        <w:t xml:space="preserve">Virtual Cards and Dynamic Spend Controls | +1.1% | Global, concentrated in North America, Europe, and Australia | Medium term (2-4 years) | </w:t>
      </w:r>
    </w:p>
    <w:p>
      <w:pPr/>
      <w:r>
        <w:rPr>
          <w:rFonts w:ascii="Helvetica Light" w:hAnsi="Helvetica Light" w:cs="Helvetica Light"/>
          <w:sz w:val="24"/>
          <w:sz-cs w:val="24"/>
        </w:rPr>
        <w:t xml:space="preserve">ERP and Accounts Payable Automation Integration | +0.9% | Global, with early gains in North America and Western Europe | Medium term (2-4 years) | </w:t>
      </w:r>
    </w:p>
    <w:p>
      <w:pPr/>
      <w:r>
        <w:rPr>
          <w:rFonts w:ascii="Helvetica Light" w:hAnsi="Helvetica Light" w:cs="Helvetica Light"/>
          <w:sz w:val="24"/>
          <w:sz-cs w:val="24"/>
        </w:rPr>
        <w:t xml:space="preserve">Faster and Traceable Cross-Border B2B Settlement | +0.8% | Asia-Pacific, North America, and Europe, with spillover to the Middle East and Africa | Short term (≤ 2 years) | </w:t>
      </w:r>
    </w:p>
    <w:p>
      <w:pPr/>
      <w:r>
        <w:rPr>
          <w:rFonts w:ascii="Helvetica Light" w:hAnsi="Helvetica Light" w:cs="Helvetica Light"/>
          <w:sz w:val="24"/>
          <w:sz-cs w:val="24"/>
        </w:rPr>
        <w:t xml:space="preserve">Straight-Through Processing and Digital Remittance Reconciliation | +0.5% | North America and the European Union, emerging in Asia-Pacific | Medium term (2-4 years) | </w:t>
      </w:r>
    </w:p>
    <w:p>
      <w:pPr/>
      <w:r>
        <w:rPr>
          <w:rFonts w:ascii="Helvetica Light" w:hAnsi="Helvetica Light" w:cs="Helvetica Light"/>
          <w:sz w:val="24"/>
          <w:sz-cs w:val="24"/>
        </w:rPr>
        <w:t xml:space="preserve">Embedded Workflows in Procurement and Expense Platforms | +0.5% | Global, led by the North American mid-market | Medium term (2-4 years) | </w:t>
      </w:r>
    </w:p>
    <w:p>
      <w:pPr/>
      <w:r>
        <w:rPr>
          <w:rFonts w:ascii="Helvetica Light" w:hAnsi="Helvetica Light" w:cs="Helvetica Light"/>
          <w:sz w:val="24"/>
          <w:sz-cs w:val="24"/>
        </w:rPr>
        <w:t xml:space="preserve">ISO 20022 and Rich Remittance Data Adoption | +0.7% | Global, centered on SWIFT CBPR+ corridors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payments market has a divided competitive structure. Global card networks and major banks process much of the payment volume and maintain established corporate treasury relationships. Specialist platforms compete through payment data, ERP connectivity, accounts payable automation, and cross-border services. Visa’s Commercial Solutions Hub and Mastercard’s supplier enablement services provide infrastructure that issuing-bank partners can use to reach corporate clients. Mastercard made a USD 300 million equity investment in Corpay’s cross-border business in April 2025 and formed an exclusive financial institution distribution agreement.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Specialist fintech providers are expanding through acquisitions and geographic growth. Corpay completed its USD 2.4 billion acquisition of Alpha Group in November 2025, strengthening its cross-border B2B foreign exchange and bank-account capabilities in Europe. Airwallex secured USD 320 million in Series H funding at a valuation of USD 11 billion in April 2026. The company is expanding from cross-border infrastructure into in-person point-of-sale and global billing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remain in reconciliation tools for SMEs that manage multiple payment rails. Supplier-side virtual card acceptance is another gap, especially in manufacturing and healthcare supply chains. Emerging corridors in the Middle East, Africa, and Asia-Pacific provide room for digital platforms where correspondent banking remains important. ISO 20022 readiness can reduce exceptions and manual translation. The commercial payments market will favor platforms that provide direct workflow support and reliable data handling.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Payments Industry Leaders* Visa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Mastercard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American Express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J.P. Morgan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Fiserv,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Payments Market Report ScopeBy Payment TypeDomestic Payments | </w:t>
      </w:r>
    </w:p>
    <w:p>
      <w:pPr/>
      <w:r>
        <w:rPr>
          <w:rFonts w:ascii="Helvetica Light" w:hAnsi="Helvetica Light" w:cs="Helvetica Light"/>
          <w:sz w:val="24"/>
          <w:sz-cs w:val="24"/>
        </w:rPr>
        <w:t xml:space="preserve">Cross-Border Payments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for commercial payments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payments market is projected to reach USD 627.27 trillion by 2031, growing at a 4.37% CAGR from 2026, with domestic and cross-border transaction needs shaping demand throughout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payment type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payments led with 72.16% share in 2025, while cross-border payments are forecast to grow at a 6.21%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payment method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Cards are forecast to grow at a 9.34% CAGR between 2026 and 2031, supported by virtual-card adoption in accounts payable workflows.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virtual cards important for corporate payments?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provide transaction-level controls and can support clearer reconciliation, while commercial card spending surpassed USD 4.3 trillion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is forecast to expand at a 6.86% CAGR from 2026 to 2031, supported by digital payment infrastructure and trade finance activity.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ISO 20022 affect business payment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SWIFT's November 2026 structured-address deadline raises the risk of rejected cross-border payment messages for organizations that are not prepared.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