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Vehicles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[https://www.mordorintelligence.com/industry-reports/commercial-vehicle-market](https://www.mordorintelligence.com/industry-reports/commercial-vehicle-market)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0.97 trillion |</w:t>
      </w:r>
    </w:p>
    <w:p>
      <w:pPr/>
      <w:r>
        <w:rPr>
          <w:rFonts w:ascii="Helvetica Light" w:hAnsi="Helvetica Light" w:cs="Helvetica Light"/>
          <w:sz w:val="24"/>
          <w:sz-cs w:val="24"/>
        </w:rPr>
        <w:t xml:space="preserve">| **Projected Forecast (2031)** | USD 0.97 trillion |</w:t>
      </w:r>
    </w:p>
    <w:p>
      <w:pPr/>
      <w:r>
        <w:rPr>
          <w:rFonts w:ascii="Helvetica Light" w:hAnsi="Helvetica Light" w:cs="Helvetica Light"/>
          <w:sz w:val="24"/>
          <w:sz-cs w:val="24"/>
        </w:rPr>
        <w:t xml:space="preserve">| **Growth Rate (CAGR)** | 4.48 %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Vehicles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Share by Gross Vehicle Weight Rating (Tonnage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0.97 Trillion | </w:t>
      </w:r>
    </w:p>
    <w:p>
      <w:pPr/>
      <w:r>
        <w:rPr>
          <w:rFonts w:ascii="Helvetica Light" w:hAnsi="Helvetica Light" w:cs="Helvetica Light"/>
          <w:sz w:val="24"/>
          <w:sz-cs w:val="24"/>
        </w:rPr>
        <w:t xml:space="preserve">Market Size (2031) | USD 1.20 Trillion | </w:t>
      </w:r>
    </w:p>
    <w:p>
      <w:pPr/>
      <w:r>
        <w:rPr>
          <w:rFonts w:ascii="Helvetica Light" w:hAnsi="Helvetica Light" w:cs="Helvetica Light"/>
          <w:sz w:val="24"/>
          <w:sz-cs w:val="24"/>
        </w:rPr>
        <w:t xml:space="preserve">Growth Rate (2026 - 2031) | 4.48 %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vehicles market size reached USD 0.97 trillion in 2026 and is projected to climb to USD 1.20 trillion by 2031, advancing at a 4.48% CAGR over the forecast period. Fleet owners are recalibrating capital-spending plans amid tightening CO₂ rules, battery-cost deflation, and infrastructure bottlenecks that slow large-scale depot electrification. Hybrid and battery-electric trucks are growing at a significantly faster pace compared to the overall market, yet internal-combustion engines continue to dominate freight transport, particularly in regions where megawatt chargers or battery-swap stations are not yet available. The Asia-Pacific region remains a key driver of global demand, supported by government incentives in countries like China and India. In Europe, funding for clean-transport corridors is accelerating depot upgrades, although delays in grid connections present ongoing challenges. Competitive pressures have intensified as major players like Daimler Truck, Volvo Group, and PACCAR strive to defend their market share against emerging competitors such as BYD and SAIC, who are rapidly increasing their production. This competition highlights a growing technology race that spans advancements in batteries, megawatt connectors, and subscription-based energy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heavy-duty commercial trucks held 42.15% of the commercial vehicles market share in 2025, whereas light commercial vans are forecast to expand at a 6.24% CAGR to 2031.</w:t>
      </w:r>
    </w:p>
    <w:p>
      <w:pPr/>
      <w:r>
        <w:rPr>
          <w:rFonts w:ascii="Helvetica Light" w:hAnsi="Helvetica Light" w:cs="Helvetica Light"/>
          <w:sz w:val="24"/>
          <w:sz-cs w:val="24"/>
        </w:rPr>
        <w:t xml:space="preserve">* By propulsion type, internal-combustion platforms accounted for 69.03% of the commercial vehicles market size in 2025, while hybrid and electric variants are poised for an 8.33% CAGR through 2031.</w:t>
      </w:r>
    </w:p>
    <w:p>
      <w:pPr/>
      <w:r>
        <w:rPr>
          <w:rFonts w:ascii="Helvetica Light" w:hAnsi="Helvetica Light" w:cs="Helvetica Light"/>
          <w:sz w:val="24"/>
          <w:sz-cs w:val="24"/>
        </w:rPr>
        <w:t xml:space="preserve">* By gross vehicle weight rating, Class 5 vehicles above 16 tons captured 45.22% of the commercial vehicles market share in 2025, and Class 2 units are expected to post a 7.21% CAGR between 2026 and 2031.</w:t>
      </w:r>
    </w:p>
    <w:p>
      <w:pPr/>
      <w:r>
        <w:rPr>
          <w:rFonts w:ascii="Helvetica Light" w:hAnsi="Helvetica Light" w:cs="Helvetica Light"/>
          <w:sz w:val="24"/>
          <w:sz-cs w:val="24"/>
        </w:rPr>
        <w:t xml:space="preserve">* By end-use industry, logistics and e-commerce commanded 38.13% of demand in the commercial vehicles market in 2025 and are projected to rise at a 5.81% CAGR.</w:t>
      </w:r>
    </w:p>
    <w:p>
      <w:pPr/>
      <w:r>
        <w:rPr>
          <w:rFonts w:ascii="Helvetica Light" w:hAnsi="Helvetica Light" w:cs="Helvetica Light"/>
          <w:sz w:val="24"/>
          <w:sz-cs w:val="24"/>
        </w:rPr>
        <w:t xml:space="preserve">* By geography, Asia-Pacific generated 46.25% of global revenue in the commercial vehicles market in 2025 and is anticipated to grow at a 7.74% CAGR, the fastest regional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Vehicles Market*Driver | (~) % Impact on CAGR Forecast | Geographic Relevance | Impact Timeline | </w:t>
      </w:r>
    </w:p>
    <w:p>
      <w:pPr/>
      <w:r>
        <w:rPr>
          <w:rFonts w:ascii="Helvetica Light" w:hAnsi="Helvetica Light" w:cs="Helvetica Light"/>
          <w:sz w:val="24"/>
          <w:sz-cs w:val="24"/>
        </w:rPr>
        <w:t xml:space="preserve">CO₂ and NOx Emission Limits | +1.2% | North America, Europe, China | Medium term (2-4 years) | </w:t>
      </w:r>
    </w:p>
    <w:p>
      <w:pPr/>
      <w:r>
        <w:rPr>
          <w:rFonts w:ascii="Helvetica Light" w:hAnsi="Helvetica Light" w:cs="Helvetica Light"/>
          <w:sz w:val="24"/>
          <w:sz-cs w:val="24"/>
        </w:rPr>
        <w:t xml:space="preserve">E-commerce and 3PL Growth | +0.9% | Global urban centers | Short term (≤ 2 years) | </w:t>
      </w:r>
    </w:p>
    <w:p>
      <w:pPr/>
      <w:r>
        <w:rPr>
          <w:rFonts w:ascii="Helvetica Light" w:hAnsi="Helvetica Light" w:cs="Helvetica Light"/>
          <w:sz w:val="24"/>
          <w:sz-cs w:val="24"/>
        </w:rPr>
        <w:t xml:space="preserve">Low Battery-Pack USD/kWh | +0.8% | Global, led by China and Europe | Medium term (2-4 years) | </w:t>
      </w:r>
    </w:p>
    <w:p>
      <w:pPr/>
      <w:r>
        <w:rPr>
          <w:rFonts w:ascii="Helvetica Light" w:hAnsi="Helvetica Light" w:cs="Helvetica Light"/>
          <w:sz w:val="24"/>
          <w:sz-cs w:val="24"/>
        </w:rPr>
        <w:t xml:space="preserve">Megawatt-Charging Corridor Pilots | +0.6% | United States West Coast, Rhine–Alpine | Medium term (2-4 years) | </w:t>
      </w:r>
    </w:p>
    <w:p>
      <w:pPr/>
      <w:r>
        <w:rPr>
          <w:rFonts w:ascii="Helvetica Light" w:hAnsi="Helvetica Light" w:cs="Helvetica Light"/>
          <w:sz w:val="24"/>
          <w:sz-cs w:val="24"/>
        </w:rPr>
        <w:t xml:space="preserve">Commercial Battery-Swap Ecosystems | +0.5% | China's core, Southeast Asia outlook | Long term (≥ 4 years) | </w:t>
      </w:r>
    </w:p>
    <w:p>
      <w:pPr/>
      <w:r>
        <w:rPr>
          <w:rFonts w:ascii="Helvetica Light" w:hAnsi="Helvetica Light" w:cs="Helvetica Light"/>
          <w:sz w:val="24"/>
          <w:sz-cs w:val="24"/>
        </w:rPr>
        <w:t xml:space="preserve">Battery-as-a-Service Rollout | +0.4% | Europe, North America,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Daimler Truck AG, Volvo Group, and PACCAR Inc. dominated the heavy-duty segment, while the light-duty sector remained fragmented. Incumbent players, filing an increasing number of patents annually for megawatt connectors and solid-state packs, are leveraging their service networks to safeguard profit margins. Meanwhile, Chinese firms BYD and SAIC Motor ramped up production in 2024–2025, setting their sights on Southeast Asia and South America. In these regions, lenient standards and subsidized power render electric trucks competitively priced. United States-based start-ups like Rivian and Nikola Corporation are carving out niches with electric delivery vans and hydrogen heavy-duty commercial vehicles, yet they grapple with challenges related to capital and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the industry pivots, energy services are emerging as lucrative avenues. Volvo and Daimler are venturing into battery leases, BYD is establishing swap networks, and CATL is making strategic moves in infrastructure, all aiming to broaden their revenue streams beyond mere hardware sales. While smaller OEMs are collaborating with cell suppliers to avoid the hefty capital expenditure of giga-factories, they find it challenging to expand their sales on a global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Standards like ISO 15118 for vehicle-to-grid technology and CharIN's megawatt connectors are becoming essential benchmarks, elevating the importance of software and interoperability. In the commercial vehicles arena, the market favors integrators who offer bundled contracts encompassing trucks, energy, and data, rather than those solely competing on price.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Industry Leaders* Daimler Truck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Dongfeng Motor Corporation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PACCAR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Vehicles Market Report ScopeThe scope includes segmentation by vehicle type (buses, heavy-duty commercial trucks, medium-duty commercial trucks, light commercial pick-up trucks, and light commercial vans), propulsion type (hybrid and electric vehicles and internal combustion engine), gross vehicle weight rating (class 1 (below 1.8 t), class 2 (1.8-3.5 t), class 3 (3.5-7.5 t), class 4 (7.5-16 t), and class 5 (above 16 t)), and end-use industry (logistics and e-commerce, construction and mining, public transport, utilities and municipal services, and others). The analysis also covers regional-level segmentation, including North America, South America, Europe, Asia-Pacific, the Middle East, and Africa. Market size and growth forecasts are presented by value in USD and by volume in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Vehicle TypeBuses | </w:t>
      </w:r>
    </w:p>
    <w:p>
      <w:pPr/>
      <w:r>
        <w:rPr>
          <w:rFonts w:ascii="Helvetica Light" w:hAnsi="Helvetica Light" w:cs="Helvetica Light"/>
          <w:sz w:val="24"/>
          <w:sz-cs w:val="24"/>
        </w:rPr>
        <w:t xml:space="preserve">Heavy-Duty Commercial Trucks | </w:t>
      </w:r>
    </w:p>
    <w:p>
      <w:pPr/>
      <w:r>
        <w:rPr>
          <w:rFonts w:ascii="Helvetica Light" w:hAnsi="Helvetica Light" w:cs="Helvetica Light"/>
          <w:sz w:val="24"/>
          <w:sz-cs w:val="24"/>
        </w:rPr>
        <w:t xml:space="preserve">Medium-Duty Commercial Trucks | </w:t>
      </w:r>
    </w:p>
    <w:p>
      <w:pPr/>
      <w:r>
        <w:rPr>
          <w:rFonts w:ascii="Helvetica Light" w:hAnsi="Helvetica Light" w:cs="Helvetica Light"/>
          <w:sz w:val="24"/>
          <w:sz-cs w:val="24"/>
        </w:rPr>
        <w:t xml:space="preserve">Light Commercial Pick-up Trucks | </w:t>
      </w:r>
    </w:p>
    <w:p>
      <w:pPr/>
      <w:r>
        <w:rPr>
          <w:rFonts w:ascii="Helvetica Light" w:hAnsi="Helvetica Light" w:cs="Helvetica Light"/>
          <w:sz w:val="24"/>
          <w:sz-cs w:val="24"/>
        </w:rPr>
        <w:t xml:space="preserve">Light Commercial Vans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commercial vehicles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reached USD 0.97 trillion in 2026 and is forecast to grow at a 4.48% CAGR to USD 1.20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new commercial vehicle sales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thanks to China's subsidies and India's FAME-II extensions, posting a 7.74% CAGR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vehicle type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vans, driven by last-mile delivery demand, are growing at a 6.24%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quickly are battery-electric trucks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and electric commercial vehicles are advancing at 8.33% annually, nearly double the overall market 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bottleneck slowing depot electrification?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Utility interconnection queues for 5 MW chargers often exceed two years, delaying charger deployment and fleet conversions.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