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Composite Resin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[https://www.mordorintelligence.com/industry-reports/composite-resin-market](https://www.mordorintelligence.com/industry-reports/composite-resin-market)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28.39 billion |</w:t>
      </w:r>
    </w:p>
    <w:p>
      <w:pPr/>
      <w:r>
        <w:rPr>
          <w:rFonts w:ascii="Helvetica Light" w:hAnsi="Helvetica Light" w:cs="Helvetica Light"/>
          <w:sz w:val="24"/>
          <w:sz-cs w:val="24"/>
        </w:rPr>
        <w:t xml:space="preserve">| **Projected Forecast (2031)** | USD 28.39 billion |</w:t>
      </w:r>
    </w:p>
    <w:p>
      <w:pPr/>
      <w:r>
        <w:rPr>
          <w:rFonts w:ascii="Helvetica Light" w:hAnsi="Helvetica Light" w:cs="Helvetica Light"/>
          <w:sz w:val="24"/>
          <w:sz-cs w:val="24"/>
        </w:rPr>
        <w:t xml:space="preserve">| **Growth Rate (CAGR)** | 6.45 %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Composite Resin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Market Share by Resin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28.39 Billion | </w:t>
      </w:r>
    </w:p>
    <w:p>
      <w:pPr/>
      <w:r>
        <w:rPr>
          <w:rFonts w:ascii="Helvetica Light" w:hAnsi="Helvetica Light" w:cs="Helvetica Light"/>
          <w:sz w:val="24"/>
          <w:sz-cs w:val="24"/>
        </w:rPr>
        <w:t xml:space="preserve">Market Size (2031) | USD 38.81 Billion | </w:t>
      </w:r>
    </w:p>
    <w:p>
      <w:pPr/>
      <w:r>
        <w:rPr>
          <w:rFonts w:ascii="Helvetica Light" w:hAnsi="Helvetica Light" w:cs="Helvetica Light"/>
          <w:sz w:val="24"/>
          <w:sz-cs w:val="24"/>
        </w:rPr>
        <w:t xml:space="preserve">Growth Rate (2026 - 2031) | 6.45 %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Market Analysis by Mordor IntelligenceThe Composite Resin Market size was valued at USD 26.67 billion in 2025 and is estimated to grow from USD 28.39 billion in 2026 to reach USD 38.81 billion by 2031, at a CAGR of 6.45% during the forecast period (2026-2031). Demand is supported by vehicle electrification, wind-energy construction, and replacement of steel with corrosion-resistant fiber-reinforced materials. These needs span transportation, energy, civil construction, and industrial piping, which give suppliers several routes to demand. The composite resin market also depends on suppliers meeting demanding technical specifications and long customer qualification cycles. These favor established producers with broad formulation portfolios and technical support capabilities. At the same time, recyclable and bio-based chemistries are becoming more important as customers address end-of-life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resin type, thermoset resin held 64.23% of the composite resin market share in 2025, while thermoplastic resin is projected to advance at a 7.23% CAGR through 2031.</w:t>
      </w:r>
    </w:p>
    <w:p>
      <w:pPr/>
      <w:r>
        <w:rPr>
          <w:rFonts w:ascii="Helvetica Light" w:hAnsi="Helvetica Light" w:cs="Helvetica Light"/>
          <w:sz w:val="24"/>
          <w:sz-cs w:val="24"/>
        </w:rPr>
        <w:t xml:space="preserve">* By manufacturing process, layup held 34.54% of the composite resin market share in 2025, while resin transfer molding is projected to advance at a 7.45% CAGR through 2031.</w:t>
      </w:r>
    </w:p>
    <w:p>
      <w:pPr/>
      <w:r>
        <w:rPr>
          <w:rFonts w:ascii="Helvetica Light" w:hAnsi="Helvetica Light" w:cs="Helvetica Light"/>
          <w:sz w:val="24"/>
          <w:sz-cs w:val="24"/>
        </w:rPr>
        <w:t xml:space="preserve">* By application, automotive and transportation held 31.67% of the composite resin market share in 2025, while wind energy is projected to advance at a 7.68% CAGR through 2031.</w:t>
      </w:r>
    </w:p>
    <w:p>
      <w:pPr/>
      <w:r>
        <w:rPr>
          <w:rFonts w:ascii="Helvetica Light" w:hAnsi="Helvetica Light" w:cs="Helvetica Light"/>
          <w:sz w:val="24"/>
          <w:sz-cs w:val="24"/>
        </w:rPr>
        <w:t xml:space="preserve">* By geography, Asia-Pacific held 42.79% of the composite resin market share in 2025 and is projected to advance at a 7.37%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Composite Resin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Lightweighting and Fuel-Efficiency Requirements | +1.5% | Global, concentrated in North America, Europe, and APAC automotive corridors | Short term (≤ 2 years) | </w:t>
      </w:r>
    </w:p>
    <w:p>
      <w:pPr/>
      <w:r>
        <w:rPr>
          <w:rFonts w:ascii="Helvetica Light" w:hAnsi="Helvetica Light" w:cs="Helvetica Light"/>
          <w:sz w:val="24"/>
          <w:sz-cs w:val="24"/>
        </w:rPr>
        <w:t xml:space="preserve">Wind-Energy Capacity Expansion | +1.2% | APAC (China, India), North America, Europe (offshore) | Medium term (2-4 years) | </w:t>
      </w:r>
    </w:p>
    <w:p>
      <w:pPr/>
      <w:r>
        <w:rPr>
          <w:rFonts w:ascii="Helvetica Light" w:hAnsi="Helvetica Light" w:cs="Helvetica Light"/>
          <w:sz w:val="24"/>
          <w:sz-cs w:val="24"/>
        </w:rPr>
        <w:t xml:space="preserve">Electrification of Automotive and Transportation Platforms | +1.0% | North America, China, and Europe under EU Green Deal vehicle mandates | Medium term (2-4 years) | </w:t>
      </w:r>
    </w:p>
    <w:p>
      <w:pPr/>
      <w:r>
        <w:rPr>
          <w:rFonts w:ascii="Helvetica Light" w:hAnsi="Helvetica Light" w:cs="Helvetica Light"/>
          <w:sz w:val="24"/>
          <w:sz-cs w:val="24"/>
        </w:rPr>
        <w:t xml:space="preserve">Infrastructure Demand for Corrosion-Resistant Materials | +0.8% | APAC, Middle East and Africa, South America | Long term (≥ 4 years) | </w:t>
      </w:r>
    </w:p>
    <w:p>
      <w:pPr/>
      <w:r>
        <w:rPr>
          <w:rFonts w:ascii="Helvetica Light" w:hAnsi="Helvetica Light" w:cs="Helvetica Light"/>
          <w:sz w:val="24"/>
          <w:sz-cs w:val="24"/>
        </w:rPr>
        <w:t xml:space="preserve">Automated High-Throughput Composite Processing | +0.5% | North America, Europe, Japan, South Korea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composite resin market is moderately concentrated, with the top five players including Huntsman International LLC, Hexion Inc., BASF, Dow, and Polynt S.p.A. BASF, Dow, Huntsman International LLC, and Evonik Industries AG compete through formulation breadth, technical service, and raw-material integration. Polynt S.p.A., KUKDO CHEMICAL CO., LTD., and Scott Bader Company Limited compete through application knowledge and regional supply proximity. Sustainability and application specialization are shaping supplier positioning. Suppliers that can meet automotive, aerospace, wind, and industrial qualifications have an advantage because customer approval processes are lengthy. The composite resin market also rewards producers that can support customer process development and production consistency.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Huntsman International LLC published European patent EP4547728A4 in July 2026 for curable epoxy resin compositions with high glass-transition temperatures for aerospace and automotive structural bonding. The development supports its position in premium thermoset systems with demanding thermal requirements. Toray Performance Materials Corporation introduced Stratex 2300r in June 2026, a carbon-fiber composite using post-consumer recycled polyethylene terephthalate. The company stated that the product maintained 1:1 mechanical performance parity with virgin-polyethylene-terephthalate unidirectional composites. These moves show why recycled-content credentials are becoming part of customer qualification criteria. They also show the importance of intellectual property in applications that require long requalification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opportunities include bio-based thermosets for wind and marine uses, recyclable thermoplastic systems for structural infusion, and low-emission alternatives to styrene. Vitrimers are being developed as thermoset systems that can be reprocessed while maintaining cross-linked performance. These materials are not yet commercially scaled, but wind original equipment manufacturers and automotive Tier 1 suppliers are showing qualification interest. Digital manufacturing is a secondary differentiator for formulators that help customers improve resin transfer molding control and cure management. Portfolio ownership also changed when INEOS divested its composites business to KPS Capital Partners in October 2024. The transaction covered unsaturated polyester resin, vinyl ester resin, and gel coat operations across 17 production sites, with annual revenue exceeding USD 840 million, and had a value of USD 1.78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Resin Industry Leaders* Huntsman International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Hexion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Polynt S.p.A.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Composite Resin Market Report ScopeComposite resins are polymer matrices used to bind and support reinforcing fibers in composite materials, providing structural integrity and transferring loads between reinforcement elements. They enable the production of lightweight, durable, and application-specific composite components with tailored mechanical, thermal, and chemical properties.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Composite Resin Market is segmented by resin type, manufacturing process, application, and geography. By resin type, the market is segmented into thermoset resin and thermoplastic resin. By manufacturing process, the market is segmented into layup, filament winding, injection molding, pultrusion, compression molding, resin transfer molding, and other manufacturing processes. By application, the market is segmented into automotive and transportation, construction and infrastructure, electrical and electronics, pipes and tanks, wind energy, marine, aerospace and defense, and other applications. The report also covers the market size and forecasts for composite resins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Resin TypeThermoset Resin | </w:t>
      </w:r>
    </w:p>
    <w:p>
      <w:pPr/>
      <w:r>
        <w:rPr>
          <w:rFonts w:ascii="Helvetica Light" w:hAnsi="Helvetica Light" w:cs="Helvetica Light"/>
          <w:sz w:val="24"/>
          <w:sz-cs w:val="24"/>
        </w:rPr>
        <w:t xml:space="preserve">Thermoplastic Resin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composite resin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composite resin market stands at USD 28.39 billion in 2026 and is projected to reach USD 38.81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resin type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Thermoset resin led with 64.23% share in 2025, supported by its established use in wind, aerospace, and industrial piping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projected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Wind energy is projected to advance at a 7.68% CAGR through 2031, supported by expanding wind capacity and larger turbine blades.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electric vehicles important for resin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enclosures, power-electronics housings, and structural components require materials with thermal stability, dielectric performance, and flame resistance.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