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Conversion Coatings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[https://www.mordorintelligence.com/industry-reports/conversion-coatings-market](https://www.mordorintelligence.com/industry-reports/conversion-coatings-market)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4.38 billion |</w:t>
      </w:r>
    </w:p>
    <w:p>
      <w:pPr/>
      <w:r>
        <w:rPr>
          <w:rFonts w:ascii="Helvetica Light" w:hAnsi="Helvetica Light" w:cs="Helvetica Light"/>
          <w:sz w:val="24"/>
          <w:sz-cs w:val="24"/>
        </w:rPr>
        <w:t xml:space="preserve">| **Projected Forecast (2031)** | USD 4.38 billion |</w:t>
      </w:r>
    </w:p>
    <w:p>
      <w:pPr/>
      <w:r>
        <w:rPr>
          <w:rFonts w:ascii="Helvetica Light" w:hAnsi="Helvetica Light" w:cs="Helvetica Light"/>
          <w:sz w:val="24"/>
          <w:sz-cs w:val="24"/>
        </w:rPr>
        <w:t xml:space="preserve">| **Growth Rate (CAGR)** | 5.08 %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Conversion Coatings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![Conversion Coatings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![Conversion Coatings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![Conversion Coatings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![Conversion Coatings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![Conversion Coatings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4.38 Billion | </w:t>
      </w:r>
    </w:p>
    <w:p>
      <w:pPr/>
      <w:r>
        <w:rPr>
          <w:rFonts w:ascii="Helvetica Light" w:hAnsi="Helvetica Light" w:cs="Helvetica Light"/>
          <w:sz w:val="24"/>
          <w:sz-cs w:val="24"/>
        </w:rPr>
        <w:t xml:space="preserve">Market Size (2031) | USD 5.62 Billion | </w:t>
      </w:r>
    </w:p>
    <w:p>
      <w:pPr/>
      <w:r>
        <w:rPr>
          <w:rFonts w:ascii="Helvetica Light" w:hAnsi="Helvetica Light" w:cs="Helvetica Light"/>
          <w:sz w:val="24"/>
          <w:sz-cs w:val="24"/>
        </w:rPr>
        <w:t xml:space="preserve">Growth Rate (2026 - 2031) | 5.08 %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Conversion Coatings Market Analysis by Mordor IntelligenceThe conversion coatings market size was estimated at USD 4.13 billion in 2025 and was estimated to grow from USD 4.38 billion in 2026 to USD 5.62 billion by 2031, at a CAGR of 5.08% during the forecast period (2026-2031). The conversion coatings market is being shaped by the shift toward aluminum-intensive and mixed-metal electric vehicle platforms, which require pretreatment systems that work across different substrates. Regulatory action on hexavalent chromium is moving specifications toward chromate-free alternatives in automotive, aerospace, packaging, and general industrial applications. These two forces are connected, as aluminum components require effective chromate-free pretreatment before coating and painting. Large suppliers are expanding their portfolios and technical capabilities, while smaller specialists remain competitive where customers require flexible formulations and local support. Wastewater treatment costs and feedstock volatility remain key operational considerations, although improved bath monitoring can reduce chemical use and support line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phosphate conversion coatings held 45.41% of the conversion coatings market share in 2025, while chromate-free conversion coatings are forecast to grow at a 6.12% CAGR through 2031.</w:t>
      </w:r>
    </w:p>
    <w:p>
      <w:pPr/>
      <w:r>
        <w:rPr>
          <w:rFonts w:ascii="Helvetica Light" w:hAnsi="Helvetica Light" w:cs="Helvetica Light"/>
          <w:sz w:val="24"/>
          <w:sz-cs w:val="24"/>
        </w:rPr>
        <w:t xml:space="preserve">* By end-user industry, transportation accounted for 34.37% of the conversion coatings market share in 2025 and is projected to expand at a 6.35% CAGR through 2031.</w:t>
      </w:r>
    </w:p>
    <w:p>
      <w:pPr/>
      <w:r>
        <w:rPr>
          <w:rFonts w:ascii="Helvetica Light" w:hAnsi="Helvetica Light" w:cs="Helvetica Light"/>
          <w:sz w:val="24"/>
          <w:sz-cs w:val="24"/>
        </w:rPr>
        <w:t xml:space="preserve">* By geography, Asia-Pacific held 38.63% of revenue in 2025 and is forecast to grow at a 6.09%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Conversion Coatings Market*Drivers | (~) % Impact on CAGR Forecast | Geographic Relevance | Impact Timeline | </w:t>
      </w:r>
    </w:p>
    <w:p>
      <w:pPr/>
      <w:r>
        <w:rPr>
          <w:rFonts w:ascii="Helvetica Light" w:hAnsi="Helvetica Light" w:cs="Helvetica Light"/>
          <w:sz w:val="24"/>
          <w:sz-cs w:val="24"/>
        </w:rPr>
        <w:t xml:space="preserve">Automotive and EV Mixed-Metal Corrosion Protection | +1.4% | Asia-Pacific core, with spillover to North America and Europe | Medium term (2-4 years) | </w:t>
      </w:r>
    </w:p>
    <w:p>
      <w:pPr/>
      <w:r>
        <w:rPr>
          <w:rFonts w:ascii="Helvetica Light" w:hAnsi="Helvetica Light" w:cs="Helvetica Light"/>
          <w:sz w:val="24"/>
          <w:sz-cs w:val="24"/>
        </w:rPr>
        <w:t xml:space="preserve">Chromate-Free Compliance-Driven Substitution | +1.2% | Europe, North America, South Korea, and Japan, with global supply-chain effects | Short term (≤ 2 years) | </w:t>
      </w:r>
    </w:p>
    <w:p>
      <w:pPr/>
      <w:r>
        <w:rPr>
          <w:rFonts w:ascii="Helvetica Light" w:hAnsi="Helvetica Light" w:cs="Helvetica Light"/>
          <w:sz w:val="24"/>
          <w:sz-cs w:val="24"/>
        </w:rPr>
        <w:t xml:space="preserve">Aerospace and Defense Durability Requirements | +0.8% | North America and Europe, with growing demand in Singapore and Japan | Long term (≥ 4 years) | </w:t>
      </w:r>
    </w:p>
    <w:p>
      <w:pPr/>
      <w:r>
        <w:rPr>
          <w:rFonts w:ascii="Helvetica Light" w:hAnsi="Helvetica Light" w:cs="Helvetica Light"/>
          <w:sz w:val="24"/>
          <w:sz-cs w:val="24"/>
        </w:rPr>
        <w:t xml:space="preserve">Infrastructure and Industrial Asset-Life Extension | +0.7% | Asia-Pacific, the Middle East and Africa, and South America, with secondary gains in North America | Medium term (2-4 years) | </w:t>
      </w:r>
    </w:p>
    <w:p>
      <w:pPr/>
      <w:r>
        <w:rPr>
          <w:rFonts w:ascii="Helvetica Light" w:hAnsi="Helvetica Light" w:cs="Helvetica Light"/>
          <w:sz w:val="24"/>
          <w:sz-cs w:val="24"/>
        </w:rPr>
        <w:t xml:space="preserve">Inline Bath Analytics and Automated Replenishment | +0.5% | Global, with early adoption in Europe and North America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conversion coatings market is moderately consolidated. Henkel AG, PPG Industries, Nihon Parkerizing, BASF through Chemetall, Quaker Houghton, and Element Solutions hold original equipment manufacturer (OEM) specification positions across multiple geographies and substrate types. SurTec International, DuBois Chemicals, Hubbard-Hall, and Troy Chemical Industries compete through formulation flexibility, technical service, and regional pricing. This structure supports both global providers and focused regional suppliers. Customers select suppliers based on technical qualification, compliance support, production reliability, and local service. No single supplier holds dominant control over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February 2026, Henkel agreed to acquire Stahl Group for EUR 2.1 billion (~USD 2.43 billion), expanding its Adhesive Technologies business into specialty coatings for flexible materials across automotive, fashion, and packaging applications. Henkel also introduced Cleaner and Coater technology, which combines cleaning and coating in a single step for general-industry metal finishers. Its Bonderite M-CR 1405 technology combines metal passivation and pretreatment in one step for coil processing. These developments reflect a broader trend among large suppliers toward process simplification and meeting sustainability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PPG launched its Knowledge Navigator formulation platform in 2025 to support the development of coating chemistries, including products for electric vehicle applications and low-volatile organic compound (VOC) coatings. Digital formulation, green chemistry, and chromate-free performance are becoming more important competitive factors. Large acquisitions can also prompt OEM customers to review their supply base and seek alternatives to single-source exposure, giving technically differentiated mid-tier suppliers an opportunity to pursue long-term specifications. The strongest opportunities remain in mixed-metal electric vehicle (EV) systems, certified food-contact solutions, and qualified aerospace chemistries. The market will continue to favor suppliers that combine chemistry performance with reliable qualification support.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Conversion Coatings Industry Leaders*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PPG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Quaker Houghton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Nihon Parkerizing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Conversion Coatings Market Report ScopeA conversion coating is a coating layer formed on a metallic surface by immersing it in a chemical solution, which may involve an electric current. The coating becomes an integral part of the substrate surface through a chemical reaction, with no distinct mechanical interface between the coating and the underlying material.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conversion coatings market is segmented by type, end-user industry, and geography. By type, the market is segmented into phosphate conversion coatings, chromate conversion coatings, chromate-free conversion coatings, oxide conversion coatings, and others. By end-user industry, the market is segmented into transportation, construction and building materials, general industry, industrial machinery, packaging, and others. The report also covers market size and forecasts for conversion coatings across 15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TypePhosphate Conversion Coatings | </w:t>
      </w:r>
    </w:p>
    <w:p>
      <w:pPr/>
      <w:r>
        <w:rPr>
          <w:rFonts w:ascii="Helvetica Light" w:hAnsi="Helvetica Light" w:cs="Helvetica Light"/>
          <w:sz w:val="24"/>
          <w:sz-cs w:val="24"/>
        </w:rPr>
        <w:t xml:space="preserve">Chromate Conversion Coatings | </w:t>
      </w:r>
    </w:p>
    <w:p>
      <w:pPr/>
      <w:r>
        <w:rPr>
          <w:rFonts w:ascii="Helvetica Light" w:hAnsi="Helvetica Light" w:cs="Helvetica Light"/>
          <w:sz w:val="24"/>
          <w:sz-cs w:val="24"/>
        </w:rPr>
        <w:t xml:space="preserve">Chromate-Free Conversion Coatings | </w:t>
      </w:r>
    </w:p>
    <w:p>
      <w:pPr/>
      <w:r>
        <w:rPr>
          <w:rFonts w:ascii="Helvetica Light" w:hAnsi="Helvetica Light" w:cs="Helvetica Light"/>
          <w:sz w:val="24"/>
          <w:sz-cs w:val="24"/>
        </w:rPr>
        <w:t xml:space="preserve">Oxide Conversion Coatings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Conversion Coatings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conversion coatings market size was estimated at USD 4.13 billion in 2025 and was estimated to grow from USD 4.38 billion in 2026 to USD 5.62 billion by 2031, at a CAGR of 5.08%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conversion coating type has the largest revenue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Phosphate conversion coatings held 45.41% of global revenue in 2025, supported by established qualifications in automotive and industrial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Chromate-free conversion coatings are forecast to grow at a 6.12% CAGR through 2031 as regulations and qualification programs favor alternatives to hexavalent chromium.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electric vehicles important for conversion coatings?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platforms require pretreatment across aluminum and ferrous substrates, including battery housings, structural components, and mixed-metal assemblies.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