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Crypto Exchange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FinTech, Neobanks &amp; Digital Banking (Financial Services &amp; Investment Intelligence)  </w:t>
      </w:r>
    </w:p>
    <w:p>
      <w:pPr/>
      <w:r>
        <w:rPr>
          <w:rFonts w:ascii="Helvetica Light" w:hAnsi="Helvetica Light" w:cs="Helvetica Light"/>
          <w:sz w:val="24"/>
          <w:sz-cs w:val="24"/>
        </w:rPr>
        <w:t xml:space="preserve">&gt; **Source:** [https://www.mordorintelligence.com/industry-reports/crypto-exchange-market](https://www.mordorintelligence.com/industry-reports/crypto-exchange-market)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95.02 trillion |</w:t>
      </w:r>
    </w:p>
    <w:p>
      <w:pPr/>
      <w:r>
        <w:rPr>
          <w:rFonts w:ascii="Helvetica Light" w:hAnsi="Helvetica Light" w:cs="Helvetica Light"/>
          <w:sz w:val="24"/>
          <w:sz-cs w:val="24"/>
        </w:rPr>
        <w:t xml:space="preserve">| **Projected Forecast (2031)** | USD 95.02 trillion |</w:t>
      </w:r>
    </w:p>
    <w:p>
      <w:pPr/>
      <w:r>
        <w:rPr>
          <w:rFonts w:ascii="Helvetica Light" w:hAnsi="Helvetica Light" w:cs="Helvetica Light"/>
          <w:sz w:val="24"/>
          <w:sz-cs w:val="24"/>
        </w:rPr>
        <w:t xml:space="preserve">| **Growth Rate (CAGR)** | 16.62 %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Crypto Exchange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![Crypto Exchange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![Crypto Exchange Market Share by Exchange Model,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![Crypto Exchange Market Share by Trading Type,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![Crypto Exchange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![Crypto Exchange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2020 - 2031 | </w:t>
      </w:r>
    </w:p>
    <w:p>
      <w:pPr/>
      <w:r>
        <w:rPr>
          <w:rFonts w:ascii="Helvetica Light" w:hAnsi="Helvetica Light" w:cs="Helvetica Light"/>
          <w:sz w:val="24"/>
          <w:sz-cs w:val="24"/>
        </w:rPr>
        <w:t xml:space="preserve">Market Size (2026) | USD 95.02 Trillion | </w:t>
      </w:r>
    </w:p>
    <w:p>
      <w:pPr/>
      <w:r>
        <w:rPr>
          <w:rFonts w:ascii="Helvetica Light" w:hAnsi="Helvetica Light" w:cs="Helvetica Light"/>
          <w:sz w:val="24"/>
          <w:sz-cs w:val="24"/>
        </w:rPr>
        <w:t xml:space="preserve">Market Size (2031) | USD 204.97 Trillion | </w:t>
      </w:r>
    </w:p>
    <w:p>
      <w:pPr/>
      <w:r>
        <w:rPr>
          <w:rFonts w:ascii="Helvetica Light" w:hAnsi="Helvetica Light" w:cs="Helvetica Light"/>
          <w:sz w:val="24"/>
          <w:sz-cs w:val="24"/>
        </w:rPr>
        <w:t xml:space="preserve">Growth Rate (2026 - 2031) | 16.62 % | </w:t>
      </w:r>
    </w:p>
    <w:p>
      <w:pPr/>
      <w:r>
        <w:rPr>
          <w:rFonts w:ascii="Helvetica Light" w:hAnsi="Helvetica Light" w:cs="Helvetica Light"/>
          <w:sz w:val="24"/>
          <w:sz-cs w:val="24"/>
        </w:rPr>
        <w:t xml:space="preserve">Fastest Growing Market | Middle East and Africa | </w:t>
      </w:r>
    </w:p>
    <w:p>
      <w:pPr/>
      <w:r>
        <w:rPr>
          <w:rFonts w:ascii="Helvetica Light" w:hAnsi="Helvetica Light" w:cs="Helvetica Light"/>
          <w:sz w:val="24"/>
          <w:sz-cs w:val="24"/>
        </w:rPr>
        <w:t xml:space="preserve">Largest Market | Asia-Pacific | </w:t>
      </w:r>
    </w:p>
    <w:p>
      <w:pPr/>
      <w:r>
        <w:rPr>
          <w:rFonts w:ascii="Helvetica Light" w:hAnsi="Helvetica Light" w:cs="Helvetica Light"/>
          <w:sz w:val="24"/>
          <w:sz-cs w:val="24"/>
        </w:rPr>
        <w:t xml:space="preserve">Market Concentration | High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Crypto Exchange Market Analysis by Mordor IntelligenceThe Crypto Exchange Market size is expected to increase from USD 81.27 trillion in 2025 to USD 95.02 trillion in 2026 and reach USD 204.97 trillion by 2031, growing at a CAGR of 16.62% over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current trajectory of the crypto exchange market reflects a durable shift in capital allocation, as large institutions, treasury teams, and sovereign investors increasingly treat digital asset venues as part of long-term financial infrastructure rather than short-term speculative channels. In January 2026, 73% of institutional investors said they planned to increase digital asset allocations, up from 62% in 2025. That shift has increased the volume concentration advantage of licensed and audited venues with stronger controls and clearer reporting standards. Regulatory enforcement is also changing where activity settles, because the July 1, 2026, MiCA deadline in the EU has narrowed the operating room for unauthorized platforms and favored exchanges that already hold national approvals and passporting rights. Stablecoin settlement and tokenized treasury activity are creating an additional institutional use case for the crypto exchange market, as 88% of surveyed institutions identified T+0 settlement as their main stablecoin use case, and tokenized reserve collateral is moving closer to production deployment. At the same time, the crypto exchange market still faces a clear adoption constraint because large hacks and custody failures continue to shape how institutions evaluate counterparty risk, platform selection, and execution concentration.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the exchange model, centralized exchanges captured 86.1% of the crypto exchange market share in 2025, while decentralized exchanges are projected to grow at a 22.8% CAGR through 2031.</w:t>
      </w:r>
    </w:p>
    <w:p>
      <w:pPr/>
      <w:r>
        <w:rPr>
          <w:rFonts w:ascii="Helvetica Light" w:hAnsi="Helvetica Light" w:cs="Helvetica Light"/>
          <w:sz w:val="24"/>
          <w:sz-cs w:val="24"/>
        </w:rPr>
        <w:t xml:space="preserve">* By trading type, derivatives accounted for 77.5% of the crypto exchange market size in 2025, and this segment is forecast to expand at a 17.1% CAGR through 2031.</w:t>
      </w:r>
    </w:p>
    <w:p>
      <w:pPr/>
      <w:r>
        <w:rPr>
          <w:rFonts w:ascii="Helvetica Light" w:hAnsi="Helvetica Light" w:cs="Helvetica Light"/>
          <w:sz w:val="24"/>
          <w:sz-cs w:val="24"/>
        </w:rPr>
        <w:t xml:space="preserve">* By geography, Asia-Pacific held 42.9% of the crypto exchange market share in 2025, while the Middle East and Africa are set to advance at a 23.5%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Crypto Exchange Market*Driver | (~) % Impact on CAGR Forecast | Geographic Relevance | Impact Timeline | </w:t>
      </w:r>
    </w:p>
    <w:p>
      <w:pPr/>
      <w:r>
        <w:rPr>
          <w:rFonts w:ascii="Helvetica Light" w:hAnsi="Helvetica Light" w:cs="Helvetica Light"/>
          <w:sz w:val="24"/>
          <w:sz-cs w:val="24"/>
        </w:rPr>
        <w:t xml:space="preserve">Rising Institutional Allocation To Digital Assets | +3.8% | Global, with concentration in North America, Europe, and Asia-Pacific institutional centers | Medium term (2-4 years) | </w:t>
      </w:r>
    </w:p>
    <w:p>
      <w:pPr/>
      <w:r>
        <w:rPr>
          <w:rFonts w:ascii="Helvetica Light" w:hAnsi="Helvetica Light" w:cs="Helvetica Light"/>
          <w:sz w:val="24"/>
          <w:sz-cs w:val="24"/>
        </w:rPr>
        <w:t xml:space="preserve">Expansion Of Regulated Spot And Derivatives Venues | +3.2% | North America, Europe, Asia-Pacific core, spill-over to Middle East and Africa | Medium term (2-4 years) | </w:t>
      </w:r>
    </w:p>
    <w:p>
      <w:pPr/>
      <w:r>
        <w:rPr>
          <w:rFonts w:ascii="Helvetica Light" w:hAnsi="Helvetica Light" w:cs="Helvetica Light"/>
          <w:sz w:val="24"/>
          <w:sz-cs w:val="24"/>
        </w:rPr>
        <w:t xml:space="preserve">Mobile First Trading And Embedded Finance Access | +2.5% | Asia-Pacific, Middle East and Africa, South America | Short term (≤ 2 years) | </w:t>
      </w:r>
    </w:p>
    <w:p>
      <w:pPr/>
      <w:r>
        <w:rPr>
          <w:rFonts w:ascii="Helvetica Light" w:hAnsi="Helvetica Light" w:cs="Helvetica Light"/>
          <w:sz w:val="24"/>
          <w:sz-cs w:val="24"/>
        </w:rPr>
        <w:t xml:space="preserve">Tokenized Treasury And Stablecoin Settlement Flows | +2.8% | Global, with early gains in the United States, the EU, Singapore, United Arab Emirates | Medium term (2-4 years) | </w:t>
      </w:r>
    </w:p>
    <w:p>
      <w:pPr/>
      <w:r>
        <w:rPr>
          <w:rFonts w:ascii="Helvetica Light" w:hAnsi="Helvetica Light" w:cs="Helvetica Light"/>
          <w:sz w:val="24"/>
          <w:sz-cs w:val="24"/>
        </w:rPr>
        <w:t xml:space="preserve">Fee Compression And Zero Fee Acquisition Models | +1.4% | Global, most pronounced in North America and Asia-Pacific | Short term (≤ 2 years) | </w:t>
      </w:r>
    </w:p>
    <w:p>
      <w:pPr/>
      <w:r>
        <w:rPr>
          <w:rFonts w:ascii="Helvetica Light" w:hAnsi="Helvetica Light" w:cs="Helvetica Light"/>
          <w:sz w:val="24"/>
          <w:sz-cs w:val="24"/>
        </w:rPr>
        <w:t xml:space="preserve">Exchange Proof Of Reserve And Auditability Demand | +0.7% | Global | Short term (≤ 2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crypto exchange market is consolidated at the top, with Binance, OKX, Bybit, and Coinbase accounting for a significant part of derivatives volume in 2025. Even so, the crypto exchange market remains fragmented beneath that top tier, with regional and mid-sized venues still competing for share through pricing, local access, and faster product rollouts. The main divide in the crypto exchange market now sits between United States-listed platforms such as Coinbase and Robinhood, which emphasize regulatory legitimacy and breadth, and Asian-headquartered exchanges such as Binance, OKX, Bybit, and Bitget, which continue to compete through speed, geographic reach, and more aggressive fee structures. Coinbase’s USD 2.9 billion purchase of Deribit was the clearest strategic move in the first camp, bringing spot, futures, perpetuals, and options together under a more unified, regulated structure with immediate scale in global options liquidity. OKX’s launch of Exchange OS on X Layer in May 2026 demonstrated the second path, in which the crypto exchange market is approached as shared infrastructure that can extend liquidity beyond the exchange’s branded venue.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There is still open space in the crypto exchange market for regulated retail derivatives, tokenized real-world asset pairs, and mobile-embedded exchange access in emerging regions. Proof of Reserves has also become a more visible competitive tool, as repeated reserve disclosures now signal operating discipline and capital strength. OKX completed 36 consecutive monthly PoR reports by October 2025 and disclosed USD 35.4 billion in verified reserves, while Bitget reported a 192% reserve ratio in May 2025, and Kraken continued to publish third-party-attested quarterly reports. These disclosures matter in the crypto exchange market because client trust now depends on visible verification as much as on brand recognition alone.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Compliance posture is also becoming a direct competitive variable in the crypto exchange market. United Kingdom sanctions imposed on HTX in May 2026 led Binance, OKX, Bybit, and Bitget to tighten transaction screening, which showed that major exchanges are using compliance infrastructure to widen the reputational distance between themselves and less transparent rivals. Mid-tier exchanges are still capable of taking a selective share, especially where fee cuts, app-first acquisition, or local currency rails can outweigh weaker global brand recognition. That said, the crypto exchange market increasingly rewards firms that can combine licensing, liquidity, auditability, and broad product coverage within one operating framework. This is why the top of the crypto exchange market remains contested, even though the threshold for serious global competition is clearly rising.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Crypto Exchange Industry Leaders* Binance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Bybit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MEXC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Gate.io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OKX</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Crypto Exchange Market Report ScopeBy Exchange ModelCentralized Exchanges | </w:t>
      </w:r>
    </w:p>
    <w:p>
      <w:pPr/>
      <w:r>
        <w:rPr>
          <w:rFonts w:ascii="Helvetica Light" w:hAnsi="Helvetica Light" w:cs="Helvetica Light"/>
          <w:sz w:val="24"/>
          <w:sz-cs w:val="24"/>
        </w:rPr>
        <w:t xml:space="preserve">Decentralized Exchanges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Europe | Germany | </w:t>
      </w:r>
    </w:p>
    <w:p>
      <w:pPr/>
      <w:r>
        <w:rPr>
          <w:rFonts w:ascii="Helvetica Light" w:hAnsi="Helvetica Light" w:cs="Helvetica Light"/>
          <w:sz w:val="24"/>
          <w:sz-cs w:val="24"/>
        </w:rPr>
        <w:t xml:space="preserve"> | United Kingdom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China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Australia | </w:t>
      </w:r>
    </w:p>
    <w:p>
      <w:pPr/>
      <w:r>
        <w:rPr>
          <w:rFonts w:ascii="Helvetica Light" w:hAnsi="Helvetica Light" w:cs="Helvetica Light"/>
          <w:sz w:val="24"/>
          <w:sz-cs w:val="24"/>
        </w:rPr>
        <w:t xml:space="preserve"> | Indonesia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Middle East and Africa | Turkey | </w:t>
      </w:r>
    </w:p>
    <w:p>
      <w:pPr/>
      <w:r>
        <w:rPr>
          <w:rFonts w:ascii="Helvetica Light" w:hAnsi="Helvetica Light" w:cs="Helvetica Light"/>
          <w:sz w:val="24"/>
          <w:sz-cs w:val="24"/>
        </w:rPr>
        <w:t xml:space="preserve"> | Israel | </w:t>
      </w:r>
    </w:p>
    <w:p>
      <w:pPr/>
      <w:r>
        <w:rPr>
          <w:rFonts w:ascii="Helvetica Light" w:hAnsi="Helvetica Light" w:cs="Helvetica Light"/>
          <w:sz w:val="24"/>
          <w:sz-cs w:val="24"/>
        </w:rPr>
        <w:t xml:space="preserve"> | Saudi Arabia | </w:t>
      </w:r>
    </w:p>
    <w:p>
      <w:pPr/>
      <w:r>
        <w:rPr>
          <w:rFonts w:ascii="Helvetica Light" w:hAnsi="Helvetica Light" w:cs="Helvetica Light"/>
          <w:sz w:val="24"/>
          <w:sz-cs w:val="24"/>
        </w:rPr>
        <w:t xml:space="preserve"> | United Arab Emirates | </w:t>
      </w:r>
    </w:p>
    <w:p>
      <w:pPr/>
      <w:r>
        <w:rPr>
          <w:rFonts w:ascii="Helvetica Light" w:hAnsi="Helvetica Light" w:cs="Helvetica Light"/>
          <w:sz w:val="24"/>
          <w:sz-cs w:val="24"/>
        </w:rPr>
        <w:t xml:space="preserve"> | South Africa | </w:t>
      </w:r>
    </w:p>
    <w:p>
      <w:pPr/>
      <w:r>
        <w:rPr>
          <w:rFonts w:ascii="Helvetica Light" w:hAnsi="Helvetica Light" w:cs="Helvetica Light"/>
          <w:sz w:val="24"/>
          <w:sz-cs w:val="24"/>
        </w:rPr>
        <w:t xml:space="preserve"> | Egypt | </w:t>
      </w:r>
    </w:p>
    <w:p>
      <w:pPr/>
      <w:r>
        <w:rPr>
          <w:rFonts w:ascii="Helvetica Light" w:hAnsi="Helvetica Light" w:cs="Helvetica Light"/>
          <w:sz w:val="24"/>
          <w:sz-cs w:val="24"/>
        </w:rPr>
        <w:t xml:space="preserve"> | Rest of Middle East and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driving growth in crypto exchange activity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Growth is being driven by rising institutional allocations, wider regulated venue coverage, mobile-first access, and expanding stablecoin settlement use cases. The market is projected to rise from USD 95 trillion in 2026 to USD 205 trillion by 2031 at a 16.6%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exchange model leads global trading volume today?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Centralized exchanges remain the volume leader, holding 86.1% of total market volume in 2025. Their advantage comes from fiat rails, deeper liquidity, and stronger licensing coverage.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decentralized exchanges gaining share so quickly?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Decentralized exchanges are benefiting from higher on-chain participation, expanding perpetual products, and growing institutional openness to DeFi. Their spot share rose from 6.9% in January 2024 to 13.6% in January 2026, and they are projected to grow at a 22.8%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trading type matters most for exchange economics?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Derivatives are the most important segment for exchange economics. They held 77.5% of total volume in 2025 and are forecast to grow at a 17.1% CAGR through 2031, which keeps them at the center of revenue and liquidity strategy.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leads the global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leads with 42.9% share in 2025, supported by large user bases, strong on-chain engagement, and broad regional market participation. The Middle East and Africa is the fastest-growing region, with a projected 23.5%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main risk slowing institutional adoption of exchanges?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USD 1.5 billion Bybit hack in February 2025 and USD 771.8 million in losses across 47 incidents in 2026 year to date show why institutions still place heavy weight on custody, signing controls, and operational resilience.</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