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Crypto Insurance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Insurance &amp; InsurTech (Financial Services &amp; Investment Intelligence)  </w:t>
      </w:r>
    </w:p>
    <w:p>
      <w:pPr/>
      <w:r>
        <w:rPr>
          <w:rFonts w:ascii="Helvetica Light" w:hAnsi="Helvetica Light" w:cs="Helvetica Light"/>
          <w:sz w:val="24"/>
          <w:sz-cs w:val="24"/>
        </w:rPr>
        <w:t xml:space="preserve">&gt; **Source:** [https://www.mordorintelligence.com/industry-reports/crypto-insurance-market](https://www.mordorintelligence.com/industry-reports/crypto-insurance-market)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0.39 billion |</w:t>
      </w:r>
    </w:p>
    <w:p>
      <w:pPr/>
      <w:r>
        <w:rPr>
          <w:rFonts w:ascii="Helvetica Light" w:hAnsi="Helvetica Light" w:cs="Helvetica Light"/>
          <w:sz w:val="24"/>
          <w:sz-cs w:val="24"/>
        </w:rPr>
        <w:t xml:space="preserve">| **Projected Forecast (2031)** | USD 0.39 billion |</w:t>
      </w:r>
    </w:p>
    <w:p>
      <w:pPr/>
      <w:r>
        <w:rPr>
          <w:rFonts w:ascii="Helvetica Light" w:hAnsi="Helvetica Light" w:cs="Helvetica Light"/>
          <w:sz w:val="24"/>
          <w:sz-cs w:val="24"/>
        </w:rPr>
        <w:t xml:space="preserve">| **Growth Rate (CAGR)** | 24.56 %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Crypto Insurance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![Crypto Insurance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![Crypto Insurance Market Share by Coverage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![Crypto Insurance Market Share by End User,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![Crypto Insurance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![Crypto Insurance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0.39 Billion | </w:t>
      </w:r>
    </w:p>
    <w:p>
      <w:pPr/>
      <w:r>
        <w:rPr>
          <w:rFonts w:ascii="Helvetica Light" w:hAnsi="Helvetica Light" w:cs="Helvetica Light"/>
          <w:sz w:val="24"/>
          <w:sz-cs w:val="24"/>
        </w:rPr>
        <w:t xml:space="preserve">Market Size (2031) | USD 1.17 Billion | </w:t>
      </w:r>
    </w:p>
    <w:p>
      <w:pPr/>
      <w:r>
        <w:rPr>
          <w:rFonts w:ascii="Helvetica Light" w:hAnsi="Helvetica Light" w:cs="Helvetica Light"/>
          <w:sz w:val="24"/>
          <w:sz-cs w:val="24"/>
        </w:rPr>
        <w:t xml:space="preserve">Growth Rate (2026 - 2031) | 24.56 %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Crypto Insurance Market Analysis by Mordor IntelligenceThe Crypto Insurance Market size is projected to expand from USD 0.31 billion in 2025 and USD 0.39 billion in 2026 to USD 1.17 billion by 2031, registering a CAGR of 24.56% between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Demand is moving beyond discretionary protection as institutional holders and regulated digital-asset firms place greater weight on custody, operational resilience, and liability coverage. The GENIUS Act established a federal stablecoin framework in 2025 with 100% reserve backing and monthly public reserve disclosure requirements, which strengthens the need to assess uninsured exposures across the digital-asset ecosystem. Theft and cyber losses continue to shape buying decisions, with USD 3.4 billion stolen from cryptocurrency services in 2025, and the Bybit incident alone accounting for USD 1.5 billion. The crypto insurance market is also being shaped by the gradual integration of coverage into wallets, exchanges, and custody platforms, which can reduce the effort required to obtain protection. At the same time, limited underwriting capacity and inconsistent policy wording continue to constrain larger placements and keep the crypto insurance market dependent on specialist capacity.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coverage type, crime, fidelity, and specie insurance captured 42.4% of the crypto insurance market share in 2025, while cyber liability and technology errors and omissions insurance are projected to grow at a 29.1% CAGR through 2031.</w:t>
      </w:r>
    </w:p>
    <w:p>
      <w:pPr/>
      <w:r>
        <w:rPr>
          <w:rFonts w:ascii="Helvetica Light" w:hAnsi="Helvetica Light" w:cs="Helvetica Light"/>
          <w:sz w:val="24"/>
          <w:sz-cs w:val="24"/>
        </w:rPr>
        <w:t xml:space="preserve">* By insurance model, traditional centralized and regulated insurance accounted for 68.3% of the crypto insurance market share in 2025, while decentralized and on-chain mutual and cover protocols are projected to grow at a 36.3% CAGR through 2031.</w:t>
      </w:r>
    </w:p>
    <w:p>
      <w:pPr/>
      <w:r>
        <w:rPr>
          <w:rFonts w:ascii="Helvetica Light" w:hAnsi="Helvetica Light" w:cs="Helvetica Light"/>
          <w:sz w:val="24"/>
          <w:sz-cs w:val="24"/>
        </w:rPr>
        <w:t xml:space="preserve">* By distribution channel, brokers and specialty intermediaries held 54.7% of the crypto insurance market share in 2025, while embedded and platform distribution is projected to grow at a 32.3% CAGR through 2031.</w:t>
      </w:r>
    </w:p>
    <w:p>
      <w:pPr/>
      <w:r>
        <w:rPr>
          <w:rFonts w:ascii="Helvetica Light" w:hAnsi="Helvetica Light" w:cs="Helvetica Light"/>
          <w:sz w:val="24"/>
          <w:sz-cs w:val="24"/>
        </w:rPr>
        <w:t xml:space="preserve">* By end user, qualified custodians and digital-asset wallet and custody providers accounted for 31.2% of the crypto insurance market share in 2025, while institutional investors and asset managers are projected to grow at a 31.2% CAGR through 2031.</w:t>
      </w:r>
    </w:p>
    <w:p>
      <w:pPr/>
      <w:r>
        <w:rPr>
          <w:rFonts w:ascii="Helvetica Light" w:hAnsi="Helvetica Light" w:cs="Helvetica Light"/>
          <w:sz w:val="24"/>
          <w:sz-cs w:val="24"/>
        </w:rPr>
        <w:t xml:space="preserve">* By insured asset and exposure, cryptocurrencies captured 59.1% of the crypto insurance market share in 2025, while other fungible tokens and tokenized assets are projected to grow at a 32.8% CAGR through 2031.</w:t>
      </w:r>
    </w:p>
    <w:p>
      <w:pPr/>
      <w:r>
        <w:rPr>
          <w:rFonts w:ascii="Helvetica Light" w:hAnsi="Helvetica Light" w:cs="Helvetica Light"/>
          <w:sz w:val="24"/>
          <w:sz-cs w:val="24"/>
        </w:rPr>
        <w:t xml:space="preserve">* By geography, North America captured 41.10% of the crypto insurance market share in 2025, while Asia-Pacific is projected to grow at a 29.75%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Crypto Insurance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Growing Institutional Adoption of Digital Assets | +6.0% | Global, with concentrated early gains in North America and Europe | Medium term (2-4 years) | </w:t>
      </w:r>
    </w:p>
    <w:p>
      <w:pPr/>
      <w:r>
        <w:rPr>
          <w:rFonts w:ascii="Helvetica Light" w:hAnsi="Helvetica Light" w:cs="Helvetica Light"/>
          <w:sz w:val="24"/>
          <w:sz-cs w:val="24"/>
        </w:rPr>
        <w:t xml:space="preserve">Rising Demand for Custody, Exchange, and Digital-Asset Liability Coverage | +5.0% | North America and Europe, with spillover to core Asia-Pacific markets | Medium term (2-4 years) | </w:t>
      </w:r>
    </w:p>
    <w:p>
      <w:pPr/>
      <w:r>
        <w:rPr>
          <w:rFonts w:ascii="Helvetica Light" w:hAnsi="Helvetica Light" w:cs="Helvetica Light"/>
          <w:sz w:val="24"/>
          <w:sz-cs w:val="24"/>
        </w:rPr>
        <w:t xml:space="preserve">DeFi and Tokenized Asset Expansion | +4.5% | Global, led by Asia-Pacific and North America | Long term (≥ 4 years) | </w:t>
      </w:r>
    </w:p>
    <w:p>
      <w:pPr/>
      <w:r>
        <w:rPr>
          <w:rFonts w:ascii="Helvetica Light" w:hAnsi="Helvetica Light" w:cs="Helvetica Light"/>
          <w:sz w:val="24"/>
          <w:sz-cs w:val="24"/>
        </w:rPr>
        <w:t xml:space="preserve">Rising Crypto Theft, Cyberattacks, and Smart-Contract Exploits | +5.0% | Global | Short term (≤ 2 years) | </w:t>
      </w:r>
    </w:p>
    <w:p>
      <w:pPr/>
      <w:r>
        <w:rPr>
          <w:rFonts w:ascii="Helvetica Light" w:hAnsi="Helvetica Light" w:cs="Helvetica Light"/>
          <w:sz w:val="24"/>
          <w:sz-cs w:val="24"/>
        </w:rPr>
        <w:t xml:space="preserve">Embedded Insurance Across Digital-Asset Platforms | +3.5% | Asia-Pacific and North America, with emerging European demand | Medium term (2-4 years) | </w:t>
      </w:r>
    </w:p>
    <w:p>
      <w:pPr/>
      <w:r>
        <w:rPr>
          <w:rFonts w:ascii="Helvetica Light" w:hAnsi="Helvetica Light" w:cs="Helvetica Light"/>
          <w:sz w:val="24"/>
          <w:sz-cs w:val="24"/>
        </w:rPr>
        <w:t xml:space="preserve">Improved Crypto Risk Analytics and Specialist Underwriting | +3.0% | North America and Europe, with progressive adoption in Asia-Pacific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Crypto Insurance Market has a fragmented carrier base but a concentrated pool of institutional capacity. Canopius, Beazley, Arch Insurance International, Tokio Marine HCC, and other Lloyd’s syndicates and specialist carriers control a large share of available single-risk limits. Chubb and Munich Re generally provide reinsurance capacity behind specialist fronts rather than writing primary policies directly. This market structure makes syndication important when exchanges, custodians, and institutional investors require large limits. Native Risk Collective combined Lloyd’s underwriters Mosaic Insurance and Chaucer with security providers to make verified controls part of the underwriting framework. The arrangement illustrates how insurers are using security partnerships to reduce loss uncertainty before they extend capacity.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Arch Insurance International joined OneInfinity and Evertas in an August 2025 custody insurance arrangement for HashKey Exchange. The placement showed how co-insurance can assemble limits that a single carrier may not be willing to offer. Canopius also partnered with EX.IO in May 2025 to provide custody insurance aligned with Hong Kong Securities and Futures Commission safeguarding standards. These actions focus on regulated exchanges and custody providers that can demonstrate established controls. Opportunities remain limited for hot-wallet and cross-chain bridge exposures above USD 50 million, systemic stablecoin depeg events, and retail or small-business risks. Traditional broker placement remains less economical for smaller policies, leaving space for digitally distributed and on-chain solutions. Insurers continue to favor placements where governance, wallet controls, and incident procedures can be reviewed before binding. That preference keeps the most complex exposures concentrated among firms with mature operating controls.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On-chain reinsurance pools, automated underwriting tools, and parametric settlement mechanisms are seeking to address these gaps. Symbiotic launched Core V2 in July 2026 to enable shared collateral across insurance, credit, and tokenized-asset liquidity. Its model could support greater use of capital across multiple risk pools, though regulatory acceptance remains incomplete. A Bermuda-based platform applied in 2026 for a standalone Luxembourg entity to serve MiCAR-regulated clients directly, showing that regulatory positioning is becoming a competitive consideration. Claims automation based on smart-contract triggers may also shorten traditional loss-adjustment timelines where the insured event can be verified through on-chain data. These models are most relevant where conventional capacity has been limited by capital requirements and aggregation risk. Their wider role will depend on whether regulators accept the structures as reliable forms of insurance or reinsurance capacity.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Crypto Insurance Industry Leaders* Lloyd’s of London syndicate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Evertas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Canopius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Nexus Mutual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Chubb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Crypto Insurance Market Report ScopeBy Coverage TypeCrime, Fidelity &amp; Specie Insurance | </w:t>
      </w:r>
    </w:p>
    <w:p>
      <w:pPr/>
      <w:r>
        <w:rPr>
          <w:rFonts w:ascii="Helvetica Light" w:hAnsi="Helvetica Light" w:cs="Helvetica Light"/>
          <w:sz w:val="24"/>
          <w:sz-cs w:val="24"/>
        </w:rPr>
        <w:t xml:space="preserve">Cyber Liability &amp; Technology Errors &amp; Omissions | </w:t>
      </w:r>
    </w:p>
    <w:p>
      <w:pPr/>
      <w:r>
        <w:rPr>
          <w:rFonts w:ascii="Helvetica Light" w:hAnsi="Helvetica Light" w:cs="Helvetica Light"/>
          <w:sz w:val="24"/>
          <w:sz-cs w:val="24"/>
        </w:rPr>
        <w:t xml:space="preserve">Professional and Liability Insurance | </w:t>
      </w:r>
    </w:p>
    <w:p>
      <w:pPr/>
      <w:r>
        <w:rPr>
          <w:rFonts w:ascii="Helvetica Light" w:hAnsi="Helvetica Light" w:cs="Helvetica Light"/>
          <w:sz w:val="24"/>
          <w:sz-cs w:val="24"/>
        </w:rPr>
        <w:t xml:space="preserve">Property &amp; Hardware Insurance | </w:t>
      </w:r>
    </w:p>
    <w:p>
      <w:pPr/>
      <w:r>
        <w:rPr>
          <w:rFonts w:ascii="Helvetica Light" w:hAnsi="Helvetica Light" w:cs="Helvetica Light"/>
          <w:sz w:val="24"/>
          <w:sz-cs w:val="24"/>
        </w:rPr>
        <w:t xml:space="preserve">Other Specialty &amp; Hybrid Covers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size of the Crypto Insurance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Crypto Insurance Market is projected to reach USD 1,174.9 million by 2031, growing at a 24.6% CAGR from 2026 to 2031. This growth reflects rising demand for custody, cyber, and liability protection among institutional and regulated digital-asset participants.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coverage type has the largest share in crypto insurance?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Crime, fidelity, and specie insurance led with 42.4% of revenue in 2025 because custodians and exchanges need protection against theft and dishonesty. It remains the main coverage class for institutional custody operations and treasury risk management.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demand for digital-asset insurance?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Institutional adoption, custody and liability requirements, cyber losses, tokenized assets, and embedded platform distribution are key demand factors. These factors are increasing the need for more formal risk-transfer arrangements across exchanges, custodians, and protocol operators.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insurance model is growing fastest for digital assets?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Decentralized and on-chain mutual and cover protocols are projected to grow at a 36.3% CAGR between 2026 and 2031. The model uses smart-contract-based pooling and community governance to provide alternatives for risks outside conventional wording.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crypto insurance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led with 41.1% of revenue in 2025, supported by institutional capital, specialist capacity, and regulatory developments. Its co-insurance structures also help assemble larger placements for established exchanges and custodians.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crypto insurance capacity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Limited historical claims data, large loss events, reinsurance constraints, and restrictive terms continue to limit available underwriting capacity. These factors make high-risk placements more difficult to structure and sustain at larger limits.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