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Cryptocurrency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[https://www.mordorintelligence.com/industry-reports/cryptocurrency-market](https://www.mordorintelligence.com/industry-reports/cryptocurrency-market)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6.16 trillion |</w:t>
      </w:r>
    </w:p>
    <w:p>
      <w:pPr/>
      <w:r>
        <w:rPr>
          <w:rFonts w:ascii="Helvetica Light" w:hAnsi="Helvetica Light" w:cs="Helvetica Light"/>
          <w:sz w:val="24"/>
          <w:sz-cs w:val="24"/>
        </w:rPr>
        <w:t xml:space="preserve">| **Projected Forecast (2031)** | USD 6.16 trillion |</w:t>
      </w:r>
    </w:p>
    <w:p>
      <w:pPr/>
      <w:r>
        <w:rPr>
          <w:rFonts w:ascii="Helvetica Light" w:hAnsi="Helvetica Light" w:cs="Helvetica Light"/>
          <w:sz w:val="24"/>
          <w:sz-cs w:val="24"/>
        </w:rPr>
        <w:t xml:space="preserve">| **Growth Rate (CAGR)** | 26.56 %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Cryptocurrency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![Cryptocurrency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![Cryptocurrency Market Share by Transaction Purpose,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![Cryptocurrency Market Share by Cryptocurrency,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![Cryptocurrency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![Cryptocurrency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6.16 Trillion | </w:t>
      </w:r>
    </w:p>
    <w:p>
      <w:pPr/>
      <w:r>
        <w:rPr>
          <w:rFonts w:ascii="Helvetica Light" w:hAnsi="Helvetica Light" w:cs="Helvetica Light"/>
          <w:sz w:val="24"/>
          <w:sz-cs w:val="24"/>
        </w:rPr>
        <w:t xml:space="preserve">Market Size (2031) | USD 20.01 Trillion | </w:t>
      </w:r>
    </w:p>
    <w:p>
      <w:pPr/>
      <w:r>
        <w:rPr>
          <w:rFonts w:ascii="Helvetica Light" w:hAnsi="Helvetica Light" w:cs="Helvetica Light"/>
          <w:sz w:val="24"/>
          <w:sz-cs w:val="24"/>
        </w:rPr>
        <w:t xml:space="preserve">Growth Rate (2026 - 2031) | 26.56 %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Cryptocurrency Market Analysis by Mordor IntelligenceThe Cryptocurrency Market size is expected to increase from USD 4.87 trillion in 2025 to USD 6.16 trillion in 2026 and reach USD 20.01 trillion by 2031, growing at a CAGR of 26.56%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in the Cryptocurrency market is shifting from speculative retail cycles toward regulated utility as institutions adopt compliant access products and settlement rails in core economies. Momentum is reinforced by the launch and scaling of spot exchange-traded products, which expanded fiduciary access and normalized crypto within portfolio construction frameworks across advisory platforms. Transaction activity continues to consolidate around payments, remittances, and institutional trading flows as stablecoin usage rises and compliance standards harden in the United States and the European Union. Stablecoin transaction volumes expanded strongly through 2025, reinforcing payment utility and settlement use cases as core adoption vectors within the crypto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transaction purpose, Trading and Investment Transfers led with 49.52% of the global cryptocurrency market size in 2025 and are forecasted to expand at a 31.24% CAGR to 2031. </w:t>
      </w:r>
    </w:p>
    <w:p>
      <w:pPr/>
      <w:r>
        <w:rPr>
          <w:rFonts w:ascii="Helvetica Light" w:hAnsi="Helvetica Light" w:cs="Helvetica Light"/>
          <w:sz w:val="24"/>
          <w:sz-cs w:val="24"/>
        </w:rPr>
        <w:t xml:space="preserve">* By user type, Institutional users held 63.24% of the market in 2025, while Retail recorded the fastest projected growth at 28.33% CAGR through 2031. </w:t>
      </w:r>
    </w:p>
    <w:p>
      <w:pPr/>
      <w:r>
        <w:rPr>
          <w:rFonts w:ascii="Helvetica Light" w:hAnsi="Helvetica Light" w:cs="Helvetica Light"/>
          <w:sz w:val="24"/>
          <w:sz-cs w:val="24"/>
        </w:rPr>
        <w:t xml:space="preserve">* By cryptocurrency, Bitcoin accounted for 43.38% of market activity in 2025 and is projected to grow at a 33.37% CAGR during 2026–2031. </w:t>
      </w:r>
    </w:p>
    <w:p>
      <w:pPr/>
      <w:r>
        <w:rPr>
          <w:rFonts w:ascii="Helvetica Light" w:hAnsi="Helvetica Light" w:cs="Helvetica Light"/>
          <w:sz w:val="24"/>
          <w:sz-cs w:val="24"/>
        </w:rPr>
        <w:t xml:space="preserve">* By geography, North America held 35.38% of the crypto market size in 2025, and Asia-Pacific is the fastest-growing region at a 29.24% projected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Cryptocurrency Market*Driver | (~) % Impact on CAGR Forecast | Geographic Relevance | Impact Timeline | </w:t>
      </w:r>
    </w:p>
    <w:p>
      <w:pPr/>
      <w:r>
        <w:rPr>
          <w:rFonts w:ascii="Helvetica Light" w:hAnsi="Helvetica Light" w:cs="Helvetica Light"/>
          <w:sz w:val="24"/>
          <w:sz-cs w:val="24"/>
        </w:rPr>
        <w:t xml:space="preserve">Regulated spot Bitcoin ETFs surge | +6.2% | Global, primarily North America and Europe | Short term (≤ 2 years) | </w:t>
      </w:r>
    </w:p>
    <w:p>
      <w:pPr/>
      <w:r>
        <w:rPr>
          <w:rFonts w:ascii="Helvetica Light" w:hAnsi="Helvetica Light" w:cs="Helvetica Light"/>
          <w:sz w:val="24"/>
          <w:sz-cs w:val="24"/>
        </w:rPr>
        <w:t xml:space="preserve">MiCA roll-out harmonization | +5.8% | European Union (27 member states) | Medium term (2–4 years) | </w:t>
      </w:r>
    </w:p>
    <w:p>
      <w:pPr/>
      <w:r>
        <w:rPr>
          <w:rFonts w:ascii="Helvetica Light" w:hAnsi="Helvetica Light" w:cs="Helvetica Light"/>
          <w:sz w:val="24"/>
          <w:sz-cs w:val="24"/>
        </w:rPr>
        <w:t xml:space="preserve">Rapid CBDC pilots in APAC and GCC | +4.9% | Asia-Pacific core, spillover to the Middle East and Africa | Medium term (2–4 years) | </w:t>
      </w:r>
    </w:p>
    <w:p>
      <w:pPr/>
      <w:r>
        <w:rPr>
          <w:rFonts w:ascii="Helvetica Light" w:hAnsi="Helvetica Light" w:cs="Helvetica Light"/>
          <w:sz w:val="24"/>
          <w:sz-cs w:val="24"/>
        </w:rPr>
        <w:t xml:space="preserve">AI compliance tools lower fraud losses | +3.7% | Global, concentrated in regulated jurisdictions | Long term (≥ 4 years) | </w:t>
      </w:r>
    </w:p>
    <w:p>
      <w:pPr/>
      <w:r>
        <w:rPr>
          <w:rFonts w:ascii="Helvetica Light" w:hAnsi="Helvetica Light" w:cs="Helvetica Light"/>
          <w:sz w:val="24"/>
          <w:sz-cs w:val="24"/>
        </w:rPr>
        <w:t xml:space="preserve">Corporate treasury adoption | +4.5% | North America, emerging in Europe | Short term (≤ 2 years) | </w:t>
      </w:r>
    </w:p>
    <w:p>
      <w:pPr/>
      <w:r>
        <w:rPr>
          <w:rFonts w:ascii="Helvetica Light" w:hAnsi="Helvetica Light" w:cs="Helvetica Light"/>
          <w:sz w:val="24"/>
          <w:sz-cs w:val="24"/>
        </w:rPr>
        <w:t xml:space="preserve">Mobile super-apps integrate USDC rails | +5.2% | Sub-Saharan Africa, Southeast Asia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Cryptocurrency market exhibits oligopolistic dynamics in core layers such as exchanges, stablecoin issuance, and institutional custody, where a handful of firms account for a large share of flows and assets. Binance led centralized exchange trading by volume in 2025, while Coinbase held a differentiated position in regulated U.S. markets as a custodian and derivatives operator serving institutions. Issuers of fiat-linked tokens remained concentrated, with USDT and USDC representing the majority of outstanding supply and serving as settlement assets across many platforms that drive the market. Circulation management, attestations, and distribution partnerships influenced share dynamics, while regional licensing requirements shaped go-to-market strategies. The overall structure reflects strong moats for regulated and well-capitalized operators that invest in compliance and product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 2025 reinforced convergence between traditional finance and digital assets. Coinbase closed the acquisition of Deribit to expand global derivatives capabilities and cross-margining, which positioned the firm to serve larger institutional flows in the Cryptocurrency market. Payment networks are advancing stablecoin settlement pilots and integrations for cross-border payments, signalling operational readiness to route transactions over blockchain rails. Asset managers expanded tokenized funds for short-duration instruments, which created on-chain yield alternatives to non-interest-bearing stablecoins and broadened the product map for institutional clients. Collectively, these initiatives tightened ties between banking, asset management, and exchange infrastructure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is a defining competitive axis as licensing regimes mature. Firms expanded AI-enabled monitoring, sanctions screening, and travel rule adherence to meet rising supervisory expectations and support institutional onboarding in the crypto market. Enhanced disclosures and risk controls enabled broader access through regulated products and partnerships with banks and payment networks. Operators with large compliance teams and audited processes preserved business continuity under heightened enforcement, which is becoming a durable barrier to entry. As tokenization, derivatives, and settlement rails converge, the strongest competitors integrate product breadth with transparent governance and regulatory relationships across regions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Cryptocurrency Industry Leaders* Coinbase Global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Binance Holdings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Tether Limited (USDT)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Circle Internet Financial LLC (USDC)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OKX (OK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Cryptocurrency Market Report ScopeCryptocurrencies are digital currencies that serve as an alternative form of payment, utilizing encryption algorithms for their creation. Cryptocurrencies are both currencies and virtual accounting systems that leverage encryption technologies. To engage with cryptocurrencies, a cryptocurrency wallet is required. The report gives an understanding of the present status of the cryptocurrency market, along with detailed market analysis, its structural intricacies explained in simple terms, risks and opportunities, current regulatory frameworks, and impact on existing systems an in-depth analysis of the implications for monetary and fiscal policies.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cryptocurrency market is segmented by transaction purpose, user type, cryptocurrency, and geography. By transaction purpose, the market is segmented into payments &amp; remittances, trading and investment transfers, decentralized finance protocol flows, others, including cross-border b2b settlements, asset tokenization &amp; settlements, and NFT purchases. By user type, the market is segmented into retail, institutional. By cryptocurrency, the market is segmented into BTC, ETH, Ripple, Bitcoin Cash, Cardano, and others. By geography, the market is segmented into the Middle East &amp; Africa, the Americas, Europe, and APAC. The report offers the market sizes and forecast values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Transaction PurposePayments &amp; Remittances | </w:t>
      </w:r>
    </w:p>
    <w:p>
      <w:pPr/>
      <w:r>
        <w:rPr>
          <w:rFonts w:ascii="Helvetica Light" w:hAnsi="Helvetica Light" w:cs="Helvetica Light"/>
          <w:sz w:val="24"/>
          <w:sz-cs w:val="24"/>
        </w:rPr>
        <w:t xml:space="preserve">Trading and Investment Transfers | </w:t>
      </w:r>
    </w:p>
    <w:p>
      <w:pPr/>
      <w:r>
        <w:rPr>
          <w:rFonts w:ascii="Helvetica Light" w:hAnsi="Helvetica Light" w:cs="Helvetica Light"/>
          <w:sz w:val="24"/>
          <w:sz-cs w:val="24"/>
        </w:rPr>
        <w:t xml:space="preserve">Decentralized Finance (DeFi) Protocol Flows | </w:t>
      </w:r>
    </w:p>
    <w:p>
      <w:pPr/>
      <w:r>
        <w:rPr>
          <w:rFonts w:ascii="Helvetica Light" w:hAnsi="Helvetica Light" w:cs="Helvetica Light"/>
          <w:sz w:val="24"/>
          <w:sz-cs w:val="24"/>
        </w:rPr>
        <w:t xml:space="preserve">Others (Cross-border B2B Settlements, Asset Tokenization &amp; Settlements, NFT Purchases)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Cryptocurrency market size in 2026, and what is the projection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Cryptocurrency market size reached USD 6.16 trillion in market value in 2026 and is projected to reach USD 20.01 trillion by 2031 at a 26.56%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transaction purpose leads and which grows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Trading and Investment Transfers led with 49.52% in 2025 and the same segment is projected to grow at 31.24% CAGR through 2031, maintaining leadership in the Cryptocurrency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user type is dominant, and which is the fastest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Institutional users held 63.24% in 2025, while Retail is forecast to grow fastest at 28.33% CAGR as mobile-first access expands in the Cryptocurrency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today, and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35.38% in 2025, and Asia-Pacific is the fastest-growing region with a projected 29.24% CAGR to 2031 in the Cryptocurrency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like MiCA and the U.S. stablecoin framework shaping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MiCA provides EU-wide passporting and clear issuer rules, while U.S. stablecoin legislation mandates high-quality reserves, which together improve institutional confidence and utility in the Cryptocurrency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moves by major players defined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Coinbase closed a USD 2.9 billion derivatives acquisition, payment networks expanded stablecoin settlement pilots, and tokenized funds scaled with leading asset managers, broadening access within the Cryptocurrency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