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Debt Collection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Capital Markets, Securities &amp; Trading (Financial Services &amp; Investment Intelligence)  </w:t>
      </w:r>
    </w:p>
    <w:p>
      <w:pPr/>
      <w:r>
        <w:rPr>
          <w:rFonts w:ascii="Helvetica Light" w:hAnsi="Helvetica Light" w:cs="Helvetica Light"/>
          <w:sz w:val="24"/>
          <w:sz-cs w:val="24"/>
        </w:rPr>
        <w:t xml:space="preserve">&gt; **Source:** [https://www.mordorintelligence.com/industry-reports/debt-collection-services-market](https://www.mordorintelligence.com/industry-reports/debt-collection-services-market)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30.93 billion |</w:t>
      </w:r>
    </w:p>
    <w:p>
      <w:pPr/>
      <w:r>
        <w:rPr>
          <w:rFonts w:ascii="Helvetica Light" w:hAnsi="Helvetica Light" w:cs="Helvetica Light"/>
          <w:sz w:val="24"/>
          <w:sz-cs w:val="24"/>
        </w:rPr>
        <w:t xml:space="preserve">| **Projected Forecast (2031)** | USD 30.93 billion |</w:t>
      </w:r>
    </w:p>
    <w:p>
      <w:pPr/>
      <w:r>
        <w:rPr>
          <w:rFonts w:ascii="Helvetica Light" w:hAnsi="Helvetica Light" w:cs="Helvetica Light"/>
          <w:sz w:val="24"/>
          <w:sz-cs w:val="24"/>
        </w:rPr>
        <w:t xml:space="preserve">| **Growth Rate (CAGR)** | 4.06 %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Debt Collection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Share by Service Model,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Share by Commercial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30.93 Billion | </w:t>
      </w:r>
    </w:p>
    <w:p>
      <w:pPr/>
      <w:r>
        <w:rPr>
          <w:rFonts w:ascii="Helvetica Light" w:hAnsi="Helvetica Light" w:cs="Helvetica Light"/>
          <w:sz w:val="24"/>
          <w:sz-cs w:val="24"/>
        </w:rPr>
        <w:t xml:space="preserve">Market Size (2031) | USD 37.74 Billion | </w:t>
      </w:r>
    </w:p>
    <w:p>
      <w:pPr/>
      <w:r>
        <w:rPr>
          <w:rFonts w:ascii="Helvetica Light" w:hAnsi="Helvetica Light" w:cs="Helvetica Light"/>
          <w:sz w:val="24"/>
          <w:sz-cs w:val="24"/>
        </w:rPr>
        <w:t xml:space="preserve">Growth Rate (2026 - 2031) | 4.06 %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Market Analysis by Mordor IntelligenceThe Debt Collection Services Market size is expected to increase from USD 29.81 billion in 2025 to USD 30.93 billion in 2026 and reach USD 37.74 billion by 2031, growing at a CAGR of 4.06%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delinquency volumes are supporting placement activity across consumer credit products, particularly credit cards and personal lending. The Federal Reserve Bank of New York reported that 4.7% of outstanding United States household debt was in some stage of delinquency in Q2 2026, which supports a continuing need for structured recovery services. Creditors are increasingly seeking agencies that can identify repayment capacity and tailor the timing and method of contact. Compliance capabilities are also becoming more important as collection rules, artificial intelligence governance, and data-handling requirements become stricter. These conditions favor larger providers that can combine operational scale, technology investment, and documented control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model, third-party collection services captured 57.89% of the debt collection services market share in 2025, while credit and special servicing are projected to grow at a 6.31% CAGR through 2031.</w:t>
      </w:r>
    </w:p>
    <w:p>
      <w:pPr/>
      <w:r>
        <w:rPr>
          <w:rFonts w:ascii="Helvetica Light" w:hAnsi="Helvetica Light" w:cs="Helvetica Light"/>
          <w:sz w:val="24"/>
          <w:sz-cs w:val="24"/>
        </w:rPr>
        <w:t xml:space="preserve">* By debt type, consumer debt accounted for 68.12% of the debt collection services market share in 2025, while public-law and statutory debt is projected to grow at a 5.68% CAGR through 2031.</w:t>
      </w:r>
    </w:p>
    <w:p>
      <w:pPr/>
      <w:r>
        <w:rPr>
          <w:rFonts w:ascii="Helvetica Light" w:hAnsi="Helvetica Light" w:cs="Helvetica Light"/>
          <w:sz w:val="24"/>
          <w:sz-cs w:val="24"/>
        </w:rPr>
        <w:t xml:space="preserve">* By collection stage, late-stage, post-charge-off, and non-performing loan collection accounted for 47.66% of the debt collection services market share in 2025, while pre-delinquency and early-stage collection are projected to grow at a 5.89% CAGR through 2031.</w:t>
      </w:r>
    </w:p>
    <w:p>
      <w:pPr/>
      <w:r>
        <w:rPr>
          <w:rFonts w:ascii="Helvetica Light" w:hAnsi="Helvetica Light" w:cs="Helvetica Light"/>
          <w:sz w:val="24"/>
          <w:sz-cs w:val="24"/>
        </w:rPr>
        <w:t xml:space="preserve">* By commercial model, contingency or commission-based pricing accounted for 52.23% of the debt collection services market share in 2025, while servicing fees on assets under management or gross book value are projected to grow at a 6.07% CAGR through 2031.</w:t>
      </w:r>
    </w:p>
    <w:p>
      <w:pPr/>
      <w:r>
        <w:rPr>
          <w:rFonts w:ascii="Helvetica Light" w:hAnsi="Helvetica Light" w:cs="Helvetica Light"/>
          <w:sz w:val="24"/>
          <w:sz-cs w:val="24"/>
        </w:rPr>
        <w:t xml:space="preserve">* By creditor industry, banking and consumer financial services accounted for 37.87% of the debt collection services market share in 2025, while healthcare and medical are projected to grow at a 5.24% CAGR through 2031.</w:t>
      </w:r>
    </w:p>
    <w:p>
      <w:pPr/>
      <w:r>
        <w:rPr>
          <w:rFonts w:ascii="Helvetica Light" w:hAnsi="Helvetica Light" w:cs="Helvetica Light"/>
          <w:sz w:val="24"/>
          <w:sz-cs w:val="24"/>
        </w:rPr>
        <w:t xml:space="preserve">* By geography, North America captured 56.52% of the debt collection services market share in 2025, while Asia-Pacific is projected to grow at a 6.77%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Debt Collection Services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Consumer and Commercial Debt Delinquencies | +1.2% | North America, Europe, Asia-Pacific | Short term (≤ 2 years) | </w:t>
      </w:r>
    </w:p>
    <w:p>
      <w:pPr/>
      <w:r>
        <w:rPr>
          <w:rFonts w:ascii="Helvetica Light" w:hAnsi="Helvetica Light" w:cs="Helvetica Light"/>
          <w:sz w:val="24"/>
          <w:sz-cs w:val="24"/>
        </w:rPr>
        <w:t xml:space="preserve">Increasing Outsourcing of Debt Collection Activities | +0.9% | Global | Medium term (2-4 years) | </w:t>
      </w:r>
    </w:p>
    <w:p>
      <w:pPr/>
      <w:r>
        <w:rPr>
          <w:rFonts w:ascii="Helvetica Light" w:hAnsi="Helvetica Light" w:cs="Helvetica Light"/>
          <w:sz w:val="24"/>
          <w:sz-cs w:val="24"/>
        </w:rPr>
        <w:t xml:space="preserve">Expansion of Digital Lending, Buy Now, Pay Later, and Fintech Credit | +0.7% | Asia-Pacific, with spillover to North America and Europe | Medium term (2-4 years) | </w:t>
      </w:r>
    </w:p>
    <w:p>
      <w:pPr/>
      <w:r>
        <w:rPr>
          <w:rFonts w:ascii="Helvetica Light" w:hAnsi="Helvetica Light" w:cs="Helvetica Light"/>
          <w:sz w:val="24"/>
          <w:sz-cs w:val="24"/>
        </w:rPr>
        <w:t xml:space="preserve">Growing Healthcare and Medical-Billing Delinquencies | +0.6% | North America | Short term (≤ 2 years) | </w:t>
      </w:r>
    </w:p>
    <w:p>
      <w:pPr/>
      <w:r>
        <w:rPr>
          <w:rFonts w:ascii="Helvetica Light" w:hAnsi="Helvetica Light" w:cs="Helvetica Light"/>
          <w:sz w:val="24"/>
          <w:sz-cs w:val="24"/>
        </w:rPr>
        <w:t xml:space="preserve">Adoption of Digital and Omnichannel Collection Services | +0.8% | North America and Europe, with Asia-Pacific catch-up | Medium term (2-4 years) | </w:t>
      </w:r>
    </w:p>
    <w:p>
      <w:pPr/>
      <w:r>
        <w:rPr>
          <w:rFonts w:ascii="Helvetica Light" w:hAnsi="Helvetica Light" w:cs="Helvetica Light"/>
          <w:sz w:val="24"/>
          <w:sz-cs w:val="24"/>
        </w:rPr>
        <w:t xml:space="preserve">Demand for Data-Driven Debtor Segmentation and Contactability | +0.5%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debt collection services market is fragmented. Five to seven scaled international providers control meaningful non-performing loan purchasing and credit-servicing volumes, while many regional and specialist agencies manage first-party and contingency work. Encore Capital raised its full-year 2026 global collections guidance to USD 2.80 billion to USD 2.85 billion after reporting Q2 2026 portfolio purchases of USD 444 million and collections of USD 737 million. Larger operators are improving scale through portfolio purchases, servicing mandates, and systems that support regulated operations. Their advantage rests on access to capital, established compliance functions, and data-supported recovery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Intrum’s July 2026 sale of its remaining 35% portfolio stake in a joint venture to Brocc Finance was completed above the EUR 182 million (USD 214 million) book value, while the company retained the servicing relationship. The move reflects a focus on capital-light, fee-based servicing rather than portfolio ownership. KRUK reported PLN 864 million (USD 233 million) in H1 2026 portfolio investments, with Italy and Poland receiving most of that investment. TrueAccord expanded into branded first-party collection services through Sentry Credit in February 2026. Its Heartbeat system uses consumer engagement data to adjust digital communications. These actions show how providers are broadening lifecycle coverage and prioritizing recurring servicing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agencies remain important for local collections, specialized creditor categories, and country-specific requirements. However, higher licensing, data-security, audit, and artificial intelligence governance costs are increasing the advantages of better-resourced firms. Compliance-embedded digital collection services for small and mid-sized creditors remain an area of opportunity. Multilingual cross-border recovery also remains relevant for international buy now, pay later and fintech portfolios. The debt collection services industry requires agencies to balance collection performance with consumer-protection obligations.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Debt Collection Services Industry Leaders* Encore Capital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PRA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Intrum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EOS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Transworld Systems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Debt Collection Services Market Report ScopeBy Service ModelFirst-Party Collection Services | </w:t>
      </w:r>
    </w:p>
    <w:p>
      <w:pPr/>
      <w:r>
        <w:rPr>
          <w:rFonts w:ascii="Helvetica Light" w:hAnsi="Helvetica Light" w:cs="Helvetica Light"/>
          <w:sz w:val="24"/>
          <w:sz-cs w:val="24"/>
        </w:rPr>
        <w:t xml:space="preserve">Third-Party Collection Services | </w:t>
      </w:r>
    </w:p>
    <w:p>
      <w:pPr/>
      <w:r>
        <w:rPr>
          <w:rFonts w:ascii="Helvetica Light" w:hAnsi="Helvetica Light" w:cs="Helvetica Light"/>
          <w:sz w:val="24"/>
          <w:sz-cs w:val="24"/>
        </w:rPr>
        <w:t xml:space="preserve">Credit and Special Servicing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debt collection services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reach USD 37.74 billion by 2031, from USD 30.93 billion in 2026, at a 4.1%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model has the largest revenue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collection services led service-model revenue with a 57.89%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early-stage debt recovery growing faster?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Pre-delinquency and early-stage collection is forecast to grow at a 5.89% CAGR as creditors use earlier engagement to reduce charge-offs and preserve customer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creditor category is growing fastest for collection agencies?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medical is forecast to grow at a 5.24% CAGR through 2031, supported by patient cost sharing and medical debt balances.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debt collection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6.77% CAGR through 2031, supported by digital lending and buy now, pay later credit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digital tools changing debt recovery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platforms use payment propensity, contact preferences, and self-service channels to tailor engagement and reduce recovery costs.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