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Digital Twin (DT)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Data Centers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https://www.mordorintelligence.com/industry-reports/digital-twin-market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Digital Twin (DT)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49.2 Billion | </w:t>
      </w:r>
    </w:p>
    <w:p>
      <w:pPr/>
      <w:r>
        <w:rPr>
          <w:rFonts w:ascii="Helvetica" w:hAnsi="Helvetica" w:cs="Helvetica"/>
          <w:sz w:val="24"/>
          <w:sz-cs w:val="24"/>
          <w:spacing w:val="0"/>
          <w:color w:val="000000"/>
        </w:rPr>
        <w:t xml:space="preserve">Market Size (2031) | USD 228.46 Billion | </w:t>
      </w:r>
    </w:p>
    <w:p>
      <w:pPr/>
      <w:r>
        <w:rPr>
          <w:rFonts w:ascii="Helvetica" w:hAnsi="Helvetica" w:cs="Helvetica"/>
          <w:sz w:val="24"/>
          <w:sz-cs w:val="24"/>
          <w:spacing w:val="0"/>
          <w:color w:val="000000"/>
        </w:rPr>
        <w:t xml:space="preserve">Growth Rate (2026 - 2031) | 35.95 %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Digital Twin (DT) Market Analysis by Mordor IntelligenceThe digital twin market size was valued at USD 36.19 billion in 2025 and estimated to grow from USD 49.2 billion in 2026 to reach USD 228.46 billion by 2031, at a CAGR of 35.95% during the forecast period (2026-2031). Tailwinds include the maturation of industrial IoT platforms, wider edge-AI deployment, and regulatory requirements for safety-critical infrastructure. Manufacturing remains the largest application thanks to established smart-factory investments, while Oil and Gas shows the strongest growth as producers seek asset-integrity gains in harsh operating conditions. Regionally, North America retains the lead, but Asia-Pacific is closing the gap as public programs in China, India, and Japan channel funding toward large-scale digitalization. Solutions account for most spending today, yet services are scaling quickly as firms seek integration expertise. Cloud deployment is growing faster than on-premises, signaling rising confidence in remote data-management safeguards and scalable architectures. Cyber-security gaps and scarce physics-based modeling talent temper the growth outlook, though they have not altered the primary trajectory of adoption.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manufacturing led with 35.10% of digital twin market share in 2025; Oil &amp; Gas is forecast to expand at a 28.1% CAGR through 2031.</w:t>
      </w:r>
    </w:p>
    <w:p>
      <w:pPr/>
      <w:r>
        <w:rPr>
          <w:rFonts w:ascii="Helvetica" w:hAnsi="Helvetica" w:cs="Helvetica"/>
          <w:sz w:val="24"/>
          <w:sz-cs w:val="24"/>
          <w:spacing w:val="0"/>
          <w:color w:val="000000"/>
        </w:rPr>
        <w:t xml:space="preserve">* By component, solutions captured 62.85% revenue share in 2025, while services are projected to grow at 30% CAGR to 2031.</w:t>
      </w:r>
    </w:p>
    <w:p>
      <w:pPr/>
      <w:r>
        <w:rPr>
          <w:rFonts w:ascii="Helvetica" w:hAnsi="Helvetica" w:cs="Helvetica"/>
          <w:sz w:val="24"/>
          <w:sz-cs w:val="24"/>
          <w:spacing w:val="0"/>
          <w:color w:val="000000"/>
        </w:rPr>
        <w:t xml:space="preserve">* By deployment mode, on-premises held 54.80% share of the digital twin market size in 2025; cloud is advancing at a 31.2% CAGR to 2031.</w:t>
      </w:r>
    </w:p>
    <w:p>
      <w:pPr/>
      <w:r>
        <w:rPr>
          <w:rFonts w:ascii="Helvetica" w:hAnsi="Helvetica" w:cs="Helvetica"/>
          <w:sz w:val="24"/>
          <w:sz-cs w:val="24"/>
          <w:spacing w:val="0"/>
          <w:color w:val="000000"/>
        </w:rPr>
        <w:t xml:space="preserve">* By enterprise size, large enterprises commanded 67.30% share in 2025; small and medium enterprises are the fastest-growing at 27.4% CAGR.</w:t>
      </w:r>
    </w:p>
    <w:p>
      <w:pPr/>
      <w:r>
        <w:rPr>
          <w:rFonts w:ascii="Helvetica" w:hAnsi="Helvetica" w:cs="Helvetica"/>
          <w:sz w:val="24"/>
          <w:sz-cs w:val="24"/>
          <w:spacing w:val="0"/>
          <w:color w:val="000000"/>
        </w:rPr>
        <w:t xml:space="preserve">* By geography, North America led with 37.95% of the digital twin market share in 2025, whereas Asia-Pacific is set to rise at a 26.0% CAGR through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Digital Twin (DT)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Rapid growth of industrial IoT platforms | +8.2% | Global, with Asia-Pacific leading adoption | Medium term (2-4 years) | </w:t>
      </w:r>
    </w:p>
    <w:p>
      <w:pPr/>
      <w:r>
        <w:rPr>
          <w:rFonts w:ascii="Helvetica" w:hAnsi="Helvetica" w:cs="Helvetica"/>
          <w:sz w:val="24"/>
          <w:sz-cs w:val="24"/>
          <w:spacing w:val="0"/>
          <w:color w:val="000000"/>
        </w:rPr>
        <w:t xml:space="preserve">Expansion of edge/AI inference at the device level | +7.5% | North America and EU, spill-over to APAC | Short term (â‰¤ 2 years) | </w:t>
      </w:r>
    </w:p>
    <w:p>
      <w:pPr/>
      <w:r>
        <w:rPr>
          <w:rFonts w:ascii="Helvetica" w:hAnsi="Helvetica" w:cs="Helvetica"/>
          <w:sz w:val="24"/>
          <w:sz-cs w:val="24"/>
          <w:spacing w:val="0"/>
          <w:color w:val="000000"/>
        </w:rPr>
        <w:t xml:space="preserve">Regulatory push for asset-intensive industries to digitise safety-critical infrastructure | +6.8% | EU and North America, expanding to Asia-Pacific | Long term (â‰¥ 4 years) | </w:t>
      </w:r>
    </w:p>
    <w:p>
      <w:pPr/>
      <w:r>
        <w:rPr>
          <w:rFonts w:ascii="Helvetica" w:hAnsi="Helvetica" w:cs="Helvetica"/>
          <w:sz w:val="24"/>
          <w:sz-cs w:val="24"/>
          <w:spacing w:val="0"/>
          <w:color w:val="000000"/>
        </w:rPr>
        <w:t xml:space="preserve">Demand for virtual commissioning to cut CAPEX in brownfield projects | +5.3% | Global, concentrated in manufacturing hubs | Medium term (2-4 years) | </w:t>
      </w:r>
    </w:p>
    <w:p>
      <w:pPr/>
      <w:r>
        <w:rPr>
          <w:rFonts w:ascii="Helvetica" w:hAnsi="Helvetica" w:cs="Helvetica"/>
          <w:sz w:val="24"/>
          <w:sz-cs w:val="24"/>
          <w:spacing w:val="0"/>
          <w:color w:val="000000"/>
        </w:rPr>
        <w:t xml:space="preserve">Rise of outcome-based service contracts needing real-time asset replica data | +4.9% | North America and EU, aerospace/energy focus | Long term (â‰¥ 4 years) | </w:t>
      </w:r>
    </w:p>
    <w:p>
      <w:pPr/>
      <w:r>
        <w:rPr>
          <w:rFonts w:ascii="Helvetica" w:hAnsi="Helvetica" w:cs="Helvetica"/>
          <w:sz w:val="24"/>
          <w:sz-cs w:val="24"/>
          <w:spacing w:val="0"/>
          <w:color w:val="000000"/>
        </w:rPr>
        <w:t xml:space="preserve">Proliferation of digital product passports in EU and U.S. | +4.1% | EU and U.S., expanding globally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Rapid growth of industrial IoT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Widespread IIoT deployment supplies real-time data that keeps digital models synchronized with factory floors. Siemens reported EUR 9 billion (USD 9.72 billion) digital business revenue in 2024, up 22% on the strength of its Xcelerator ecosystem[1]Roland Busch, â€œSiemens FY 2024 Press Conference,â€ Siemens AG, siemens.com. Honeywellâ€™s Forge platform processes 3 billion+ datapoints daily, cutting unplanned downtime by 35% in client plants. Standardized protocols such as OPC UA and MQTT reduce integration friction, enabling plants to deploy twins in weeks rather than months. The result is steady cost avoidance, quicker root-cause analysis, and more predictable capacity planning.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edge/AI inference at the device level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Moving analytics from cloud to edge trims latency and preserves data sovereignty. Microsoft and Siemens co-developed Industrial Foundation Models that run inference at the asset, allowing millisecond-level responses for anomaly detection. Audi now operates virtual PLCs through edge-deployed twins that optimize cycle times in real manufacturing lines. Local simulation also limits bandwidth consumption because only exception of data moves upstream. Specialized chips and containerized runtimes further cut deployment costs for tier-two suppliers, accelerating the spread of AI-ready twins throughout value chains.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push for asset-intensive industries to digitise safety-critical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 digital product passport rule (2024-2027) obliges manufacturers to maintain granular digital records for textiles, electronics, and building materials. Aviation regulators now accept simulation-based certification; Siemens and UL Solutions secured the first drive certification via a digital twin, slashing verification time by 40%. Compliance mandates shift digital twins from optional efficiency tools to required documentation layers, boosting adoption among conservative sectors such as chemicals and rail.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for virtual commissioning to cut CAPEX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Cambridge University research shows virtual commissioning can shrink project timelines by 25% and eliminate up to 60% of physical tests in complex lines. Shell leverages refinery twins to trial process changes virtually, reducing downtime risk and accelerating investment payback. As facilities age, brownfield upgrades grow costlier; virtual validation lets engineers adjust parameters in software first, minimizing field-work overruns and material waste.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Cyber-physical security vulnerabilities across IT/OT stacks | -3.8% | Global, concentrated in critical infrastructure | Short term (â‰¤ 2 years) | </w:t>
      </w:r>
    </w:p>
    <w:p>
      <w:pPr/>
      <w:r>
        <w:rPr>
          <w:rFonts w:ascii="Helvetica" w:hAnsi="Helvetica" w:cs="Helvetica"/>
          <w:sz w:val="24"/>
          <w:sz-cs w:val="24"/>
          <w:spacing w:val="0"/>
          <w:color w:val="000000"/>
        </w:rPr>
        <w:t xml:space="preserve">Shortage of domain-specific physics-based modelling expertise | -3.2% | Global, acute in emerging markets | Long term (â‰¥ 4 years) | </w:t>
      </w:r>
    </w:p>
    <w:p>
      <w:pPr/>
      <w:r>
        <w:rPr>
          <w:rFonts w:ascii="Helvetica" w:hAnsi="Helvetica" w:cs="Helvetica"/>
          <w:sz w:val="24"/>
          <w:sz-cs w:val="24"/>
          <w:spacing w:val="0"/>
          <w:color w:val="000000"/>
        </w:rPr>
        <w:t xml:space="preserve">Opaque IP ownership of data generated in federated twins | -2.1% | EU and North America, regulatory focus | Medium term (2-4 years) | </w:t>
      </w:r>
    </w:p>
    <w:p>
      <w:pPr/>
      <w:r>
        <w:rPr>
          <w:rFonts w:ascii="Helvetica" w:hAnsi="Helvetica" w:cs="Helvetica"/>
          <w:sz w:val="24"/>
          <w:sz-cs w:val="24"/>
          <w:spacing w:val="0"/>
          <w:color w:val="000000"/>
        </w:rPr>
        <w:t xml:space="preserve">Fragmentation of simulation standards limiting interoperability | -1.9% | Global, industry-specific variations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Cyber-physical security vulnerabilities across IT/OT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Spanish National Cybersecurity Institute notes that twins bridging IT and OT widen attack surfaces, exposing process controllers to data-integrity threats. Recent ransomware events forced manufacturers to halt production for days while cleansing twin data lakes. Average deployment delays of 18 months arise as firms integrate zero-trust architectures and train staff. Multi-tenant twins add complexity because partner access must be segmented without slowing collaboration.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domain-specific physics-based modelling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OECD surveys indicate 67% of European SMEs cite skills scarcity as the primary adoption barrier. Building a turbine twin demands aerodynamics, materials science, and control-theory knowledge in addition to software skills. Emerging-market firms struggle more, pushing up consulting costs and prolonging time-to-value. Academic-industry consortia are launching micro-credential courses, yet the near-term talent gap remains a drag on scale-up.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Application: Manufacturing retains the lead while Oil and Gas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contributed 35.10% of the digital twin market in 2025 thanks to embedded IIoT sensors, predictive maintenance programs, and continuous-improvement cultures. Automotive and electronics plants deploy line-level twins to analyze takt-time fluctuations and quality-yield patterns, trimming scrap rates by double digits. Energy-efficiency gains add another payback layer, particularly in resource-intensive metallurgy and cement operations. The segment is forecast to expand steadily, preserving its quantitative edge even as other verticals catch up.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Oil and Gas, though smaller today, is projected to grow at a 28.1% CAGR to 2031 as offshore operators require remote inspection and fault-isolation capabilities. The upstream segment deploys reservoir twins that integrate seismic data and production logs, allowing engineers to simulate well-workover scenarios before mobilizing rigs. Midstream companies apply pipeline twins for leak detection, while downstream refineries like Shell have documented 20% unplanned downtime reductions using twins verified by DNV standards. Government decarbonization targets further propel adoption as twins optimize flare minimization and heat-integration strategies. Across both segments, AI-assisted scenario testing elevates twins from monitoring to decision-support systems, reinforcing their share of total deployments.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 Solutions dominate yet services take 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solutions categoryâ€”software platforms, physics engines, and connected hardwareâ€”accounted for 62.85% of spending in 2025 as companies acquired core capabilities. Vendors bundle modeling libraries with visualization engines so process engineers can assemble replicas without coding from scratch. Licensing models are shifting to consumption-based tiers, broadening access among tier-two suppliers.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however, are scaling faster at a 30% CAGR. Implementation consultancies align data pipelines, create semantic models, and validate simulation fidelity. Managed-service contracts monitor twin health metrics, apply patches, and tune algorithms for drift, yielding predictable OPEX for asset owners. As outcome-based agreements proliferateâ€”Rolls-Royce TotalCare guarantees engine uptime backed by twin analyticsâ€”service partners assume more risk, tying fees to efficiency gains rather than billable hours. This model strengthens customer loyalty and encourages continuous platform enhancements.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Mode: Cloud gains ground despite on-premises predominance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On-premises architectures held 54.80% of the digital twin market size in 2025 because operators of critical infrastructure prioritize data custody and deterministic latency. Utilities and aerospace primes, governed by strict export-control rules, maintain local clusters where models interact with PLCs in microseconds.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advancing at 31.2% CAGR, benefits from hyperscalersâ€™ security certifications and elastic compute. Azure Digital Twins and AWS IoT TwinMaker offer pre-built ontologies and time-series databases, cutting provisioning time from months to days. Hybrid models route sensitive control loops to the factory edge while streaming aggregated telemetry to regional clouds for AI training. Vendors embed policy-based data-placement tools so compliance officers specify residency constraints, balancing resilience with sovereignty.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Enterprise Size: SMEs emerge as the fastest movers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enterprises held 67.30% share in 2025, leveraging multi-disciplinary teams and sizable capex to create plant-wide twins. Early adopters have now moved into second-generation projects, layering AI agents onto established models. Their focus is shifting toward cross-site federation, linking product-lifecycle twins with supply-chain twins for end-to-end visibility.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 and medium enterprises are growing at 27.4% CAGR as SaaS pricing and low-code interfaces reduce entry barriers. Government vouchers in the EUâ€™s Digital Europe Program offset pilot costs for SMEs in machinery and food processing. Regional clusters share best-practice templates, allowing a metal-fab shop in Italy to reuse a welding-robot cell twin designed by peers in Germany. Financing hurdles persist, but pay-per-use models and vendor backed leasing options are easing capital constraints, accelerating SME penetration.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commanded 37.95% of digital twin market revenue in 2025 driven by early Industry 4.0 rollouts, extensive aerospace programs, and robust venture funding for industrial SaaS. U.S. aviation regulatorsâ€™ acceptance of simulation-based certification has spurred widespread twin investment among aircraft OEMs and Tier-1 suppliers. Energy majors in Canada and the United States deploy pipeline and LNG terminal twins to cut methane leak rates, aligning with tightening environmental policy. Cloud adoption is particularly strong due to mature cyber-insurance frameworks and standardized data-protection mandates.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posts the highest CAGR at 26.0%, supported by government megaprojects. Chinaâ€™s Digital China Construction plan mandates urban digital twins for new infrastructure, creating large procurement pipelines for domestic and foreign vendors. Indiaâ€™s Sangam Digital Twin scheme integrates network twin capability into nationwide telecom upgrades as the country moves toward 6G readiness. Japanâ€™s NTT Digital Twin Computing Initiative supports city-scale replicas that feed transportation and disaster-response algorithms. South Korea and Singapore push smart-factory and smart-port pilots, emphasizing real-time carbon-footprint tracking. The regionâ€™s supply-chain centrality means lessons learned here propagate quickly to global OEMs.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advances steadily as regulatory imperatives take center stage. The digital product passport forces manufacturers to embed traceability across product life cycles, effectively making a lightweight twin mandatory for high-volume goods. Germanyâ€™s Plattform Industrie 4.0 provides standardized administration shell guidelines, reducing integration overhead for SMEs. France invests in virtual shipyard twins to maintain competitive edge in naval construction, while the Nordics use building twins to meet net-zero codes. The Middle East and Africa remain nascent but promising: the UAE and Saudi Arabia are piloting oil-field twins and giga-project city twins, seeking efficiency and sustainability benefits prior to large-scale expansion.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digital twin (dt) market across other key regional markets. Detailed country-level analysis extends to United States incorporating local coverage and market participation, as required.</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 twin deployments increasingly align with formal standards and public-program governance, especially where safety, traceability, and cross-organization data exchange are involved. The European Commission established the Local Digital Twins CitiVERSE European Digital Infrastructure Consortium via Implementing Decision (EU) 2024/459, which points to an institutional model for federated, cross-border local digital twin infrastructure in smart-community use cases. In the United States, the NITRD program issued a June 2024 Federal Register RFI on digital twins, reflecting government prioritization of digital twin research agendas that can shape funding and reference implementations.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activity is also shaping compliance checklists and interoperability choices. ISO/IEC published ISO/IEC 30194:2024 to document best practices for IoT and digital twin use-case projects, and ISO advanced the manufacturing-oriented ISO 23247 series with ISO 23247-6 published in June 2026 on digital twin composition (configuration and communication principles). In parallel, NIST updated its Digital Twins for Advanced Manufacturing program in April 2026, emphasizing verification, validation, and uncertainty quantification (VVUQ), which raises requirements for model assurance in regulated, safety-critical industrial scenarios.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digital twin value chain begins with data creation and connectivity (industrial sensors, OT/IT integration, and telemetry capture), then moves through data platforms and modeling (time-series and event data estates, simulation and physics engines, and semantic or ontology modeling). From there, solutions shift into visualization and operations workflows, including 3D or immersive interfaces, analytics, and closed-loop decision support. Platform and hyperscale cloud providers (for example, Microsoft) provide scalable compute, identity, and data services, while industrial software vendors deliver engineering and operations applications. System integrators and IT services firms typically handle critical implementation work such as asset modeling, data governance, and validation, which helps explain why services are scaling quickly in this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deployments are packaged into vertical workflows such as manufacturing virtual commissioning, oil and gas asset integrity, and telecom network planning and optimization. In these multi-vendor environments, integration and interface standards become key bottlenecks. Industry bodies and standards organizations (ISO, NIST, and industry alliances such as IDTA) influence reference architectures and maturity models used across projects. Recent additions include ISO/IEC 30186:2025 (digital twin maturity model) and ISO/TS 25271:2026 (industrial digital twin interface architecture). One example of ecosystem coupling is the July 2026 Tech Mahindra and Microsoft collaboration to showcase a Network Digital Twin integrating Microsoft Azure, Fabric, and agentic AI for 5G optimization, highlighting the dependency chain from network telemetry ingestion to AI-driven optimization workflows.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concentration remains moderate. Siemens bolstered its portfolio by acquiring Altair Engineering for USD 10.6 billion in 2024, merging simulation depth with its Xcelerator platform. Dassault SystÃ¨mes continues to integrate Modelica libraries into 3DEXPERIENCE to capture mechanical and systems co-simulation workflows. PTC positions ThingWorx and Kepware as plug-and-play data spines for mid-market manufacturers. ANSYS focuses on fidelity, embedding reduced-order models that speed runtime without sacrificing accuracy. Microsoft, AWS, and Google vie for platform mindshare by rolling out managed twin services with built-in connectors to their broader cloud ecosystems.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partnerships shape competition. NVIDIA works with KION and Accenture to deliver warehouse automation twins that harness GPU-accelerated physics for real-time pallet routing. Capgeminiâ€™s purchase of Unityâ€™s services arm gives it immersive visualization chops to differentiate in client bids. Palantir leverages Foundry to create energy-sector twins for BP, blending OT data with financial and emissions metrics. Smaller vendors target vertical niches: healthcare-focused twin platforms mesh imaging, sensor telemetry, and patient records to enable personalized treatment simulations. Standard fragmentation persists; thus, vendors that support ISO 23247, IEEE 1451, and AML interchange stand out by lowering customer lock-in fears.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 competition is limited, as buyers value reliability over pure license cost. Instead, vendors jockey on total-cost-of-ownership metrics, emphasizing faster go-live and reduced downtime. Generative AI infused into twins emerges as a new battleground: providers that embed proactive scenario generation and automated root-cause analysis capture premium margins. MandA activity is expected to continue as platform suppliers seek complementary analytics, visualization, and security assets, gradually tightening the competitive field.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 Twin (DT) Industry Leaders*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Dassault SystÃ¨mes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PTC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whitespace is forming around lifecycle-grade digital twins that connect engineering, construction, and operations for new classes of infrastructure, particularly data centers and AI factories where power distribution and cooling constraints drive design trade-offs. In March 2026, AVEVA introduced a lifecycle digital twin architecture aligned with NVIDIA Omniverse DSX Blueprints for gigawatt-scale AI factories, and Schneider Electric also collaborated with NVIDIA around validated blueprints and reference designs that incorporate digital twin workflows for designing, simulating, building, operating, and maintaining AI-factory infrastructure. Together, these updates extend digital twin value beyond discrete equipment modeling into standardized, repeatable design-to-operations templates that can be reused across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opportunity area is scaling programs that industrialize twin creation and operations across multi-site enterprises and logistics nodes, where repeatable asset models, governance, and integration services can differentiate vendor offerings. Unilever and Accenture announced in June 2026 a program to scale AI-enabled digital twins across Unilever's global manufacturing network, including building 40 new digital twins over 18 months, which reinforces demand for industrialized rollout methods, integration tooling, and managed operations. In ports and terminals, CyberLogitec signed a July 2026 contract with Total Terminal International (TTI) Algeciras to supply digital twin technology for the terminal's B1 expansion, illustrating how use is widening beyond factories into high-throughput logistics operations where simulation supports capacity planning, automation, and service-level performance.</w:t>
      </w:r>
    </w:p>
    <w:p>
      <w:pPr/>
      <w:r>
        <w:rPr>
          <w:rFonts w:ascii="Helvetica" w:hAnsi="Helvetica" w:cs="Helvetica"/>
          <w:sz w:val="24"/>
          <w:sz-cs w:val="24"/>
          <w:spacing w:val="0"/>
          <w:color w:val="000000"/>
        </w:rPr>
        <w:t xml:space="preserve">Recent Industry Developments* February 2026: Dassault Systemes and NVIDIA announced a strategic partnership to build an industrial AI platform that supports virtual twins. The collaboration links simulation-grade modeling with accelerated computing and AI infrastructure, tightening integration between design environments and operational digital twin workflows.</w:t>
      </w:r>
    </w:p>
    <w:p>
      <w:pPr/>
      <w:r>
        <w:rPr>
          <w:rFonts w:ascii="Helvetica" w:hAnsi="Helvetica" w:cs="Helvetica"/>
          <w:sz w:val="24"/>
          <w:sz-cs w:val="24"/>
          <w:spacing w:val="0"/>
          <w:color w:val="000000"/>
        </w:rPr>
        <w:t xml:space="preserve">* April 2025: Dassault Systemes and Airbus extended their strategic partnership to use virtual twins on the 3DEXPERIENCE platform across civil and military aircraft lifecycle management. The expansion reinforces virtual twins as a core system for complex product development and sustainment, and it broadens the scope from discrete programs to wider lifecycle standardization.</w:t>
      </w:r>
    </w:p>
    <w:p>
      <w:pPr/>
      <w:r>
        <w:rPr>
          <w:rFonts w:ascii="Helvetica" w:hAnsi="Helvetica" w:cs="Helvetica"/>
          <w:sz w:val="24"/>
          <w:sz-cs w:val="24"/>
          <w:spacing w:val="0"/>
          <w:color w:val="000000"/>
        </w:rPr>
        <w:t xml:space="preserve">* November 2024: Sustainable Energy for All and IBM launched new AI solutions aimed at energy and urban development use cases. The initiative highlights increasing bundling of AI with digital representations of assets and cities, supporting broader adoption of data-driven planning and operations across public and utility stakeholders.</w:t>
      </w:r>
    </w:p>
    <w:p>
      <w:pPr/>
      <w:r>
        <w:rPr>
          <w:rFonts w:ascii="Helvetica" w:hAnsi="Helvetica" w:cs="Helvetica"/>
          <w:sz w:val="24"/>
          <w:sz-cs w:val="24"/>
          <w:spacing w:val="0"/>
          <w:color w:val="000000"/>
        </w:rPr>
        <w:t xml:space="preserve">Table of Contents for Digital Twin (DT)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growth of industrial IoT platforms</w:t>
      </w:r>
    </w:p>
    <w:p>
      <w:pPr/>
      <w:r>
        <w:rPr>
          <w:rFonts w:ascii="Helvetica" w:hAnsi="Helvetica" w:cs="Helvetica"/>
          <w:sz w:val="24"/>
          <w:sz-cs w:val="24"/>
          <w:spacing w:val="0"/>
          <w:color w:val="000000"/>
        </w:rPr>
        <w:t xml:space="preserve">* 4.2.2 Expansion of edge/AI inference at the device level</w:t>
      </w:r>
    </w:p>
    <w:p>
      <w:pPr/>
      <w:r>
        <w:rPr>
          <w:rFonts w:ascii="Helvetica" w:hAnsi="Helvetica" w:cs="Helvetica"/>
          <w:sz w:val="24"/>
          <w:sz-cs w:val="24"/>
          <w:spacing w:val="0"/>
          <w:color w:val="000000"/>
        </w:rPr>
        <w:t xml:space="preserve">* 4.2.3 Regulatory push for asset-intensive industries to digitise safety-critical infrastructure</w:t>
      </w:r>
    </w:p>
    <w:p>
      <w:pPr/>
      <w:r>
        <w:rPr>
          <w:rFonts w:ascii="Helvetica" w:hAnsi="Helvetica" w:cs="Helvetica"/>
          <w:sz w:val="24"/>
          <w:sz-cs w:val="24"/>
          <w:spacing w:val="0"/>
          <w:color w:val="000000"/>
        </w:rPr>
        <w:t xml:space="preserve">* 4.2.4 Demand for virtual commissioning to cut CAPEX in brownfield projects</w:t>
      </w:r>
    </w:p>
    <w:p>
      <w:pPr/>
      <w:r>
        <w:rPr>
          <w:rFonts w:ascii="Helvetica" w:hAnsi="Helvetica" w:cs="Helvetica"/>
          <w:sz w:val="24"/>
          <w:sz-cs w:val="24"/>
          <w:spacing w:val="0"/>
          <w:color w:val="000000"/>
        </w:rPr>
        <w:t xml:space="preserve">* 4.2.5 Rise of outcome-based service contracts needing real-time asset replica data</w:t>
      </w:r>
    </w:p>
    <w:p>
      <w:pPr/>
      <w:r>
        <w:rPr>
          <w:rFonts w:ascii="Helvetica" w:hAnsi="Helvetica" w:cs="Helvetica"/>
          <w:sz w:val="24"/>
          <w:sz-cs w:val="24"/>
          <w:spacing w:val="0"/>
          <w:color w:val="000000"/>
        </w:rPr>
        <w:t xml:space="preserve">* 4.2.6 Proliferation of digital product passports in EU and 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Cyber-physical security vulnerabilities across IT/OT stacks</w:t>
      </w:r>
    </w:p>
    <w:p>
      <w:pPr/>
      <w:r>
        <w:rPr>
          <w:rFonts w:ascii="Helvetica" w:hAnsi="Helvetica" w:cs="Helvetica"/>
          <w:sz w:val="24"/>
          <w:sz-cs w:val="24"/>
          <w:spacing w:val="0"/>
          <w:color w:val="000000"/>
        </w:rPr>
        <w:t xml:space="preserve">* 4.3.2 Shortage of domain-specific physics-based modelling expertise</w:t>
      </w:r>
    </w:p>
    <w:p>
      <w:pPr/>
      <w:r>
        <w:rPr>
          <w:rFonts w:ascii="Helvetica" w:hAnsi="Helvetica" w:cs="Helvetica"/>
          <w:sz w:val="24"/>
          <w:sz-cs w:val="24"/>
          <w:spacing w:val="0"/>
          <w:color w:val="000000"/>
        </w:rPr>
        <w:t xml:space="preserve">* 4.3.3 Opaque IP ownership of data generated in federated twins</w:t>
      </w:r>
    </w:p>
    <w:p>
      <w:pPr/>
      <w:r>
        <w:rPr>
          <w:rFonts w:ascii="Helvetica" w:hAnsi="Helvetica" w:cs="Helvetica"/>
          <w:sz w:val="24"/>
          <w:sz-cs w:val="24"/>
          <w:spacing w:val="0"/>
          <w:color w:val="000000"/>
        </w:rPr>
        <w:t xml:space="preserve">* 4.3.4 Fragmentation of simulation standards limiting interoperability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Evaluation of Critical Regulatory Framework</w:t>
      </w:r>
    </w:p>
    <w:p>
      <w:pPr/>
      <w:r>
        <w:rPr>
          <w:rFonts w:ascii="Helvetica" w:hAnsi="Helvetica" w:cs="Helvetica"/>
          <w:sz w:val="24"/>
          <w:sz-cs w:val="24"/>
          <w:spacing w:val="0"/>
          <w:color w:val="000000"/>
        </w:rPr>
        <w:t xml:space="preserve">* 4.5 Value Chain Analysis</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Assessment of Key Stakeholders</w:t>
      </w:r>
    </w:p>
    <w:p>
      <w:pPr/>
      <w:r>
        <w:rPr>
          <w:rFonts w:ascii="Helvetica" w:hAnsi="Helvetica" w:cs="Helvetica"/>
          <w:sz w:val="24"/>
          <w:sz-cs w:val="24"/>
          <w:spacing w:val="0"/>
          <w:color w:val="000000"/>
        </w:rPr>
        <w:t xml:space="preserve">* 4.9 Key Use Cases and Case Studies</w:t>
      </w:r>
    </w:p>
    <w:p>
      <w:pPr/>
      <w:r>
        <w:rPr>
          <w:rFonts w:ascii="Helvetica" w:hAnsi="Helvetica" w:cs="Helvetica"/>
          <w:sz w:val="24"/>
          <w:sz-cs w:val="24"/>
          <w:spacing w:val="0"/>
          <w:color w:val="000000"/>
        </w:rPr>
        <w:t xml:space="preserve">* 4.10 Impact on Macroeconomic Factors of the Market</w:t>
      </w:r>
    </w:p>
    <w:p>
      <w:pPr/>
      <w:r>
        <w:rPr>
          <w:rFonts w:ascii="Helvetica" w:hAnsi="Helvetica" w:cs="Helvetica"/>
          <w:sz w:val="24"/>
          <w:sz-cs w:val="24"/>
          <w:spacing w:val="0"/>
          <w:color w:val="000000"/>
        </w:rPr>
        <w:t xml:space="preserve">* 4.11 Investment Analysis</w:t>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Application* 5.1.1 Manufacturing</w:t>
      </w:r>
    </w:p>
    <w:p>
      <w:pPr/>
      <w:r>
        <w:rPr>
          <w:rFonts w:ascii="Helvetica" w:hAnsi="Helvetica" w:cs="Helvetica"/>
          <w:sz w:val="24"/>
          <w:sz-cs w:val="24"/>
          <w:spacing w:val="0"/>
          <w:color w:val="000000"/>
        </w:rPr>
        <w:t xml:space="preserve">* 5.1.2 Energy and Power</w:t>
      </w:r>
    </w:p>
    <w:p>
      <w:pPr/>
      <w:r>
        <w:rPr>
          <w:rFonts w:ascii="Helvetica" w:hAnsi="Helvetica" w:cs="Helvetica"/>
          <w:sz w:val="24"/>
          <w:sz-cs w:val="24"/>
          <w:spacing w:val="0"/>
          <w:color w:val="000000"/>
        </w:rPr>
        <w:t xml:space="preserve">* 5.1.3 Aerospace and Defense</w:t>
      </w:r>
    </w:p>
    <w:p>
      <w:pPr/>
      <w:r>
        <w:rPr>
          <w:rFonts w:ascii="Helvetica" w:hAnsi="Helvetica" w:cs="Helvetica"/>
          <w:sz w:val="24"/>
          <w:sz-cs w:val="24"/>
          <w:spacing w:val="0"/>
          <w:color w:val="000000"/>
        </w:rPr>
        <w:t xml:space="preserve">* 5.1.4 Oil and Gas</w:t>
      </w:r>
    </w:p>
    <w:p>
      <w:pPr/>
      <w:r>
        <w:rPr>
          <w:rFonts w:ascii="Helvetica" w:hAnsi="Helvetica" w:cs="Helvetica"/>
          <w:sz w:val="24"/>
          <w:sz-cs w:val="24"/>
          <w:spacing w:val="0"/>
          <w:color w:val="000000"/>
        </w:rPr>
        <w:t xml:space="preserve">* 5.1.5 Automotive</w:t>
      </w:r>
    </w:p>
    <w:p>
      <w:pPr/>
      <w:r>
        <w:rPr>
          <w:rFonts w:ascii="Helvetica" w:hAnsi="Helvetica" w:cs="Helvetica"/>
          <w:sz w:val="24"/>
          <w:sz-cs w:val="24"/>
          <w:spacing w:val="0"/>
          <w:color w:val="000000"/>
        </w:rPr>
        <w:t xml:space="preserve">* 5.1.6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Solutions/Platforms</w:t>
      </w:r>
    </w:p>
    <w:p>
      <w:pPr/>
      <w:r>
        <w:rPr>
          <w:rFonts w:ascii="Helvetica" w:hAnsi="Helvetica" w:cs="Helvetica"/>
          <w:sz w:val="24"/>
          <w:sz-cs w:val="24"/>
          <w:spacing w:val="0"/>
          <w:color w:val="000000"/>
        </w:rPr>
        <w:t xml:space="preserve">* 5.2.2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Deployment Mode* 5.3.1 On-premises</w:t>
      </w:r>
    </w:p>
    <w:p>
      <w:pPr/>
      <w:r>
        <w:rPr>
          <w:rFonts w:ascii="Helvetica" w:hAnsi="Helvetica" w:cs="Helvetica"/>
          <w:sz w:val="24"/>
          <w:sz-cs w:val="24"/>
          <w:spacing w:val="0"/>
          <w:color w:val="000000"/>
        </w:rPr>
        <w:t xml:space="preserve">* 5.3.2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Enterprise Size* 5.4.1 Large Enterprises</w:t>
      </w:r>
    </w:p>
    <w:p>
      <w:pPr/>
      <w:r>
        <w:rPr>
          <w:rFonts w:ascii="Helvetica" w:hAnsi="Helvetica" w:cs="Helvetica"/>
          <w:sz w:val="24"/>
          <w:sz-cs w:val="24"/>
          <w:spacing w:val="0"/>
          <w:color w:val="000000"/>
        </w:rPr>
        <w:t xml:space="preserve">* 5.4.2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United Kingdom</w:t>
      </w:r>
    </w:p>
    <w:p>
      <w:pPr/>
      <w:r>
        <w:rPr>
          <w:rFonts w:ascii="Helvetica" w:hAnsi="Helvetica" w:cs="Helvetica"/>
          <w:sz w:val="24"/>
          <w:sz-cs w:val="24"/>
          <w:spacing w:val="0"/>
          <w:color w:val="000000"/>
        </w:rPr>
        <w:t xml:space="preserve">* 5.5.3.2 Germany</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Nordics</w:t>
      </w:r>
    </w:p>
    <w:p>
      <w:pPr/>
      <w:r>
        <w:rPr>
          <w:rFonts w:ascii="Helvetica" w:hAnsi="Helvetica" w:cs="Helvetica"/>
          <w:sz w:val="24"/>
          <w:sz-cs w:val="24"/>
          <w:spacing w:val="0"/>
          <w:color w:val="000000"/>
        </w:rPr>
        <w:t xml:space="preserve">* 5.5.3.7 Rest of Europe</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Middle East</w:t>
      </w:r>
    </w:p>
    <w:p>
      <w:pPr/>
      <w:r>
        <w:rPr>
          <w:rFonts w:ascii="Helvetica" w:hAnsi="Helvetica" w:cs="Helvetica"/>
          <w:sz w:val="24"/>
          <w:sz-cs w:val="24"/>
          <w:spacing w:val="0"/>
          <w:color w:val="000000"/>
        </w:rPr>
        <w:t xml:space="preserve">* 5.5.4.1.1 Saudi Arabia</w:t>
      </w:r>
    </w:p>
    <w:p>
      <w:pPr/>
      <w:r>
        <w:rPr>
          <w:rFonts w:ascii="Helvetica" w:hAnsi="Helvetica" w:cs="Helvetica"/>
          <w:sz w:val="24"/>
          <w:sz-cs w:val="24"/>
          <w:spacing w:val="0"/>
          <w:color w:val="000000"/>
        </w:rPr>
        <w:t xml:space="preserve">* 5.5.4.1.2 United Arab Emirates</w:t>
      </w:r>
    </w:p>
    <w:p>
      <w:pPr/>
      <w:r>
        <w:rPr>
          <w:rFonts w:ascii="Helvetica" w:hAnsi="Helvetica" w:cs="Helvetica"/>
          <w:sz w:val="24"/>
          <w:sz-cs w:val="24"/>
          <w:spacing w:val="0"/>
          <w:color w:val="000000"/>
        </w:rPr>
        <w:t xml:space="preserve">* 5.5.4.1.3 Turkey</w:t>
      </w:r>
    </w:p>
    <w:p>
      <w:pPr/>
      <w:r>
        <w:rPr>
          <w:rFonts w:ascii="Helvetica" w:hAnsi="Helvetica" w:cs="Helvetica"/>
          <w:sz w:val="24"/>
          <w:sz-cs w:val="24"/>
          <w:spacing w:val="0"/>
          <w:color w:val="000000"/>
        </w:rPr>
        <w:t xml:space="preserve">* 5.5.4.1.4 Rest of Middle East</w:t>
      </w:r>
    </w:p>
    <w:p>
      <w:pPr/>
      <w:r>
        <w:rPr>
          <w:rFonts w:ascii="Helvetica" w:hAnsi="Helvetica" w:cs="Helvetica"/>
          <w:sz w:val="24"/>
          <w:sz-cs w:val="24"/>
          <w:spacing w:val="0"/>
          <w:color w:val="000000"/>
        </w:rPr>
        <w:t xml:space="preserve">* 5.5.4.2 Africa</w:t>
      </w:r>
    </w:p>
    <w:p>
      <w:pPr/>
      <w:r>
        <w:rPr>
          <w:rFonts w:ascii="Helvetica" w:hAnsi="Helvetica" w:cs="Helvetica"/>
          <w:sz w:val="24"/>
          <w:sz-cs w:val="24"/>
          <w:spacing w:val="0"/>
          <w:color w:val="000000"/>
        </w:rPr>
        <w:t xml:space="preserve">* 5.5.4.2.1 South Africa</w:t>
      </w:r>
    </w:p>
    <w:p>
      <w:pPr/>
      <w:r>
        <w:rPr>
          <w:rFonts w:ascii="Helvetica" w:hAnsi="Helvetica" w:cs="Helvetica"/>
          <w:sz w:val="24"/>
          <w:sz-cs w:val="24"/>
          <w:spacing w:val="0"/>
          <w:color w:val="000000"/>
        </w:rPr>
        <w:t xml:space="preserve">* 5.5.4.2.2 Egypt</w:t>
      </w:r>
    </w:p>
    <w:p>
      <w:pPr/>
      <w:r>
        <w:rPr>
          <w:rFonts w:ascii="Helvetica" w:hAnsi="Helvetica" w:cs="Helvetica"/>
          <w:sz w:val="24"/>
          <w:sz-cs w:val="24"/>
          <w:spacing w:val="0"/>
          <w:color w:val="000000"/>
        </w:rPr>
        <w:t xml:space="preserve">* 5.5.4.2.3 Nigeria</w:t>
      </w:r>
    </w:p>
    <w:p>
      <w:pPr/>
      <w:r>
        <w:rPr>
          <w:rFonts w:ascii="Helvetica" w:hAnsi="Helvetica" w:cs="Helvetica"/>
          <w:sz w:val="24"/>
          <w:sz-cs w:val="24"/>
          <w:spacing w:val="0"/>
          <w:color w:val="000000"/>
        </w:rPr>
        <w:t xml:space="preserve">* 5.5.4.2.4 Rest of Africa</w:t>
      </w:r>
    </w:p>
    <w:p>
      <w:pPr/>
      <w:r>
        <w:rPr>
          <w:rFonts w:ascii="Helvetica" w:hAnsi="Helvetica" w:cs="Helvetica"/>
          <w:sz w:val="24"/>
          <w:sz-cs w:val="24"/>
          <w:spacing w:val="0"/>
          <w:color w:val="000000"/>
        </w:rPr>
        <w:t xml:space="preserve">* 5.5.5 Asia-Pacific</w:t>
      </w:r>
    </w:p>
    <w:p>
      <w:pPr/>
      <w:r>
        <w:rPr>
          <w:rFonts w:ascii="Helvetica" w:hAnsi="Helvetica" w:cs="Helvetica"/>
          <w:sz w:val="24"/>
          <w:sz-cs w:val="24"/>
          <w:spacing w:val="0"/>
          <w:color w:val="000000"/>
        </w:rPr>
        <w:t xml:space="preserve">* 5.5.5.1 China</w:t>
      </w:r>
    </w:p>
    <w:p>
      <w:pPr/>
      <w:r>
        <w:rPr>
          <w:rFonts w:ascii="Helvetica" w:hAnsi="Helvetica" w:cs="Helvetica"/>
          <w:sz w:val="24"/>
          <w:sz-cs w:val="24"/>
          <w:spacing w:val="0"/>
          <w:color w:val="000000"/>
        </w:rPr>
        <w:t xml:space="preserve">* 5.5.5.2 India</w:t>
      </w:r>
    </w:p>
    <w:p>
      <w:pPr/>
      <w:r>
        <w:rPr>
          <w:rFonts w:ascii="Helvetica" w:hAnsi="Helvetica" w:cs="Helvetica"/>
          <w:sz w:val="24"/>
          <w:sz-cs w:val="24"/>
          <w:spacing w:val="0"/>
          <w:color w:val="000000"/>
        </w:rPr>
        <w:t xml:space="preserve">* 5.5.5.3 Japan</w:t>
      </w:r>
    </w:p>
    <w:p>
      <w:pPr/>
      <w:r>
        <w:rPr>
          <w:rFonts w:ascii="Helvetica" w:hAnsi="Helvetica" w:cs="Helvetica"/>
          <w:sz w:val="24"/>
          <w:sz-cs w:val="24"/>
          <w:spacing w:val="0"/>
          <w:color w:val="000000"/>
        </w:rPr>
        <w:t xml:space="preserve">* 5.5.5.4 South Korea</w:t>
      </w:r>
    </w:p>
    <w:p>
      <w:pPr/>
      <w:r>
        <w:rPr>
          <w:rFonts w:ascii="Helvetica" w:hAnsi="Helvetica" w:cs="Helvetica"/>
          <w:sz w:val="24"/>
          <w:sz-cs w:val="24"/>
          <w:spacing w:val="0"/>
          <w:color w:val="000000"/>
        </w:rPr>
        <w:t xml:space="preserve">* 5.5.5.5 ASEAN</w:t>
      </w:r>
    </w:p>
    <w:p>
      <w:pPr/>
      <w:r>
        <w:rPr>
          <w:rFonts w:ascii="Helvetica" w:hAnsi="Helvetica" w:cs="Helvetica"/>
          <w:sz w:val="24"/>
          <w:sz-cs w:val="24"/>
          <w:spacing w:val="0"/>
          <w:color w:val="000000"/>
        </w:rPr>
        <w:t xml:space="preserve">* 5.5.5.6 Australia</w:t>
      </w:r>
    </w:p>
    <w:p>
      <w:pPr/>
      <w:r>
        <w:rPr>
          <w:rFonts w:ascii="Helvetica" w:hAnsi="Helvetica" w:cs="Helvetica"/>
          <w:sz w:val="24"/>
          <w:sz-cs w:val="24"/>
          <w:spacing w:val="0"/>
          <w:color w:val="000000"/>
        </w:rPr>
        <w:t xml:space="preserve">* 5.5.5.7 New Zealand</w:t>
      </w:r>
    </w:p>
    <w:p>
      <w:pPr/>
      <w:r>
        <w:rPr>
          <w:rFonts w:ascii="Helvetica" w:hAnsi="Helvetica" w:cs="Helvetica"/>
          <w:sz w:val="24"/>
          <w:sz-cs w:val="24"/>
          <w:spacing w:val="0"/>
          <w:color w:val="000000"/>
        </w:rPr>
        <w:t xml:space="preserve">* 5.5.5.8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ANSYS, Inc.</w:t>
      </w:r>
    </w:p>
    <w:p>
      <w:pPr/>
      <w:r>
        <w:rPr>
          <w:rFonts w:ascii="Helvetica" w:hAnsi="Helvetica" w:cs="Helvetica"/>
          <w:sz w:val="24"/>
          <w:sz-cs w:val="24"/>
          <w:spacing w:val="0"/>
          <w:color w:val="000000"/>
        </w:rPr>
        <w:t xml:space="preserve">* 6.4.2 AVEVA Group plc</w:t>
      </w:r>
    </w:p>
    <w:p>
      <w:pPr/>
      <w:r>
        <w:rPr>
          <w:rFonts w:ascii="Helvetica" w:hAnsi="Helvetica" w:cs="Helvetica"/>
          <w:sz w:val="24"/>
          <w:sz-cs w:val="24"/>
          <w:spacing w:val="0"/>
          <w:color w:val="000000"/>
        </w:rPr>
        <w:t xml:space="preserve">* 6.4.3 Bentley Systems, Incorporated</w:t>
      </w:r>
    </w:p>
    <w:p>
      <w:pPr/>
      <w:r>
        <w:rPr>
          <w:rFonts w:ascii="Helvetica" w:hAnsi="Helvetica" w:cs="Helvetica"/>
          <w:sz w:val="24"/>
          <w:sz-cs w:val="24"/>
          <w:spacing w:val="0"/>
          <w:color w:val="000000"/>
        </w:rPr>
        <w:t xml:space="preserve">* 6.4.4 Cal-Tek S.R.L.</w:t>
      </w:r>
    </w:p>
    <w:p>
      <w:pPr/>
      <w:r>
        <w:rPr>
          <w:rFonts w:ascii="Helvetica" w:hAnsi="Helvetica" w:cs="Helvetica"/>
          <w:sz w:val="24"/>
          <w:sz-cs w:val="24"/>
          <w:spacing w:val="0"/>
          <w:color w:val="000000"/>
        </w:rPr>
        <w:t xml:space="preserve">* 6.4.5 Cityzenith, Inc.</w:t>
      </w:r>
    </w:p>
    <w:p>
      <w:pPr/>
      <w:r>
        <w:rPr>
          <w:rFonts w:ascii="Helvetica" w:hAnsi="Helvetica" w:cs="Helvetica"/>
          <w:sz w:val="24"/>
          <w:sz-cs w:val="24"/>
          <w:spacing w:val="0"/>
          <w:color w:val="000000"/>
        </w:rPr>
        <w:t xml:space="preserve">* 6.4.6 Dassault Systemes SE</w:t>
      </w:r>
    </w:p>
    <w:p>
      <w:pPr/>
      <w:r>
        <w:rPr>
          <w:rFonts w:ascii="Helvetica" w:hAnsi="Helvetica" w:cs="Helvetica"/>
          <w:sz w:val="24"/>
          <w:sz-cs w:val="24"/>
          <w:spacing w:val="0"/>
          <w:color w:val="000000"/>
        </w:rPr>
        <w:t xml:space="preserve">* 6.4.7 General Electric Company</w:t>
      </w:r>
    </w:p>
    <w:p>
      <w:pPr/>
      <w:r>
        <w:rPr>
          <w:rFonts w:ascii="Helvetica" w:hAnsi="Helvetica" w:cs="Helvetica"/>
          <w:sz w:val="24"/>
          <w:sz-cs w:val="24"/>
          <w:spacing w:val="0"/>
          <w:color w:val="000000"/>
        </w:rPr>
        <w:t xml:space="preserve">* 6.4.8 Hexagon AB</w:t>
      </w:r>
    </w:p>
    <w:p>
      <w:pPr/>
      <w:r>
        <w:rPr>
          <w:rFonts w:ascii="Helvetica" w:hAnsi="Helvetica" w:cs="Helvetica"/>
          <w:sz w:val="24"/>
          <w:sz-cs w:val="24"/>
          <w:spacing w:val="0"/>
          <w:color w:val="000000"/>
        </w:rPr>
        <w:t xml:space="preserve">* 6.4.9 International Business Machines Corporation</w:t>
      </w:r>
    </w:p>
    <w:p>
      <w:pPr/>
      <w:r>
        <w:rPr>
          <w:rFonts w:ascii="Helvetica" w:hAnsi="Helvetica" w:cs="Helvetica"/>
          <w:sz w:val="24"/>
          <w:sz-cs w:val="24"/>
          <w:spacing w:val="0"/>
          <w:color w:val="000000"/>
        </w:rPr>
        <w:t xml:space="preserve">* 6.4.10 Lanner Group Limited (Royal HaskoningDHV)</w:t>
      </w:r>
    </w:p>
    <w:p>
      <w:pPr/>
      <w:r>
        <w:rPr>
          <w:rFonts w:ascii="Helvetica" w:hAnsi="Helvetica" w:cs="Helvetica"/>
          <w:sz w:val="24"/>
          <w:sz-cs w:val="24"/>
          <w:spacing w:val="0"/>
          <w:color w:val="000000"/>
        </w:rPr>
        <w:t xml:space="preserve">* 6.4.11 Mevea Ltd.</w:t>
      </w:r>
    </w:p>
    <w:p>
      <w:pPr/>
      <w:r>
        <w:rPr>
          <w:rFonts w:ascii="Helvetica" w:hAnsi="Helvetica" w:cs="Helvetica"/>
          <w:sz w:val="24"/>
          <w:sz-cs w:val="24"/>
          <w:spacing w:val="0"/>
          <w:color w:val="000000"/>
        </w:rPr>
        <w:t xml:space="preserve">* 6.4.12 Microsoft Corporation</w:t>
      </w:r>
    </w:p>
    <w:p>
      <w:pPr/>
      <w:r>
        <w:rPr>
          <w:rFonts w:ascii="Helvetica" w:hAnsi="Helvetica" w:cs="Helvetica"/>
          <w:sz w:val="24"/>
          <w:sz-cs w:val="24"/>
          <w:spacing w:val="0"/>
          <w:color w:val="000000"/>
        </w:rPr>
        <w:t xml:space="preserve">* 6.4.13 Oracle Corporation</w:t>
      </w:r>
    </w:p>
    <w:p>
      <w:pPr/>
      <w:r>
        <w:rPr>
          <w:rFonts w:ascii="Helvetica" w:hAnsi="Helvetica" w:cs="Helvetica"/>
          <w:sz w:val="24"/>
          <w:sz-cs w:val="24"/>
          <w:spacing w:val="0"/>
          <w:color w:val="000000"/>
        </w:rPr>
        <w:t xml:space="preserve">* 6.4.14 PTC Inc.</w:t>
      </w:r>
    </w:p>
    <w:p>
      <w:pPr/>
      <w:r>
        <w:rPr>
          <w:rFonts w:ascii="Helvetica" w:hAnsi="Helvetica" w:cs="Helvetica"/>
          <w:sz w:val="24"/>
          <w:sz-cs w:val="24"/>
          <w:spacing w:val="0"/>
          <w:color w:val="000000"/>
        </w:rPr>
        <w:t xml:space="preserve">* 6.4.15 Rescale, Inc.</w:t>
      </w:r>
    </w:p>
    <w:p>
      <w:pPr/>
      <w:r>
        <w:rPr>
          <w:rFonts w:ascii="Helvetica" w:hAnsi="Helvetica" w:cs="Helvetica"/>
          <w:sz w:val="24"/>
          <w:sz-cs w:val="24"/>
          <w:spacing w:val="0"/>
          <w:color w:val="000000"/>
        </w:rPr>
        <w:t xml:space="preserve">* 6.4.16 Robert Bosch GmbH (Bosch.IO)</w:t>
      </w:r>
    </w:p>
    <w:p>
      <w:pPr/>
      <w:r>
        <w:rPr>
          <w:rFonts w:ascii="Helvetica" w:hAnsi="Helvetica" w:cs="Helvetica"/>
          <w:sz w:val="24"/>
          <w:sz-cs w:val="24"/>
          <w:spacing w:val="0"/>
          <w:color w:val="000000"/>
        </w:rPr>
        <w:t xml:space="preserve">* 6.4.17 SAP SE</w:t>
      </w:r>
    </w:p>
    <w:p>
      <w:pPr/>
      <w:r>
        <w:rPr>
          <w:rFonts w:ascii="Helvetica" w:hAnsi="Helvetica" w:cs="Helvetica"/>
          <w:sz w:val="24"/>
          <w:sz-cs w:val="24"/>
          <w:spacing w:val="0"/>
          <w:color w:val="000000"/>
        </w:rPr>
        <w:t xml:space="preserve">* 6.4.18 Schneider Electric SE</w:t>
      </w:r>
    </w:p>
    <w:p>
      <w:pPr/>
      <w:r>
        <w:rPr>
          <w:rFonts w:ascii="Helvetica" w:hAnsi="Helvetica" w:cs="Helvetica"/>
          <w:sz w:val="24"/>
          <w:sz-cs w:val="24"/>
          <w:spacing w:val="0"/>
          <w:color w:val="000000"/>
        </w:rPr>
        <w:t xml:space="preserve">* 6.4.19 Siemens AG</w:t>
      </w:r>
    </w:p>
    <w:p>
      <w:pPr/>
      <w:r>
        <w:rPr>
          <w:rFonts w:ascii="Helvetica" w:hAnsi="Helvetica" w:cs="Helvetica"/>
          <w:sz w:val="24"/>
          <w:sz-cs w:val="24"/>
          <w:spacing w:val="0"/>
          <w:color w:val="000000"/>
        </w:rPr>
        <w:t xml:space="preserve">* 6.4.20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digital twin market covers the revenue generated from software platforms and related services used to build and run a live digital replica of a physical asset, process, or system, so performance can be simulated, monitored, and improved.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general-purpose IoT connectivity, standalone CAD design tools, and pure consulting work that is not tied to delivering or operating a digital twin solution.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Manufacturing</w:t>
      </w:r>
    </w:p>
    <w:p>
      <w:pPr/>
      <w:r>
        <w:rPr>
          <w:rFonts w:ascii="Helvetica" w:hAnsi="Helvetica" w:cs="Helvetica"/>
          <w:sz w:val="24"/>
          <w:sz-cs w:val="24"/>
          <w:spacing w:val="0"/>
          <w:color w:val="000000"/>
        </w:rPr>
        <w:t xml:space="preserve">* Energy and Power</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Oil and Gas</w:t>
      </w:r>
    </w:p>
    <w:p>
      <w:pPr/>
      <w:r>
        <w:rPr>
          <w:rFonts w:ascii="Helvetica" w:hAnsi="Helvetica" w:cs="Helvetica"/>
          <w:sz w:val="24"/>
          <w:sz-cs w:val="24"/>
          <w:spacing w:val="0"/>
          <w:color w:val="000000"/>
        </w:rPr>
        <w:t xml:space="preserve">* Automotive</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Solutions/Platforms</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On-premises</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Enterprise Size* Large Enterprises</w:t>
      </w:r>
    </w:p>
    <w:p>
      <w:pPr/>
      <w:r>
        <w:rPr>
          <w:rFonts w:ascii="Helvetica" w:hAnsi="Helvetica" w:cs="Helvetica"/>
          <w:sz w:val="24"/>
          <w:sz-cs w:val="24"/>
          <w:spacing w:val="0"/>
          <w:color w:val="000000"/>
        </w:rPr>
        <w:t xml:space="preserve">*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Nordics</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started with public, non-paywalled references that explain adoption and spending signals, such as the US Bureau of Economic Analysis for industry output context, the US Census Bureau for enterprise and manufacturing indicators, Eurostat for comparable industrial activity series, and OECD digital economy publications for enabling technology trends. We also used standards and technical references from organizations such as ISO and NIST to keep wording consistent when separating simulation, monitoring, and lifecycle usage.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convert these signals into a market model, we reviewed company annual reports, earnings call transcripts, and investor presentations to understand how digital twin is packaged and priced (platform subscriptions, usage-based modules, and services attached to deployments). Where available, we checked patent databases to map activity around modeling, asset virtualization, and analytics integration. An approved paid subscription for company financials and intelligence supported cross-checks on revenue mix and regional exposure. These sources are not exhaustive, and many other public materials were also referenced to collect, validate, and clarify data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short surveys focused on solution teams, system integrators, and enterprise users across manufacturing, energy, aerospace and defense, oil and gas, and automotive, since buying and deployment patterns vary by asset criticality and uptime needs. We used these discussions to confirm what is counted as digital twin revenue, test average selling price steps by deployment mode (cloud versus on-premises), and validate adoption timing across APAC, EMEA, and the Americas.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38% | CXOs: 17% | APAC: 40% | </w:t>
      </w:r>
    </w:p>
    <w:p>
      <w:pPr/>
      <w:r>
        <w:rPr>
          <w:rFonts w:ascii="Helvetica" w:hAnsi="Helvetica" w:cs="Helvetica"/>
          <w:sz w:val="24"/>
          <w:sz-cs w:val="24"/>
          <w:spacing w:val="0"/>
          <w:color w:val="000000"/>
        </w:rPr>
        <w:t xml:space="preserve">Mid tier: 45% | Functional/Unit leaders: 29% | EMEA: 33% | </w:t>
      </w:r>
    </w:p>
    <w:p>
      <w:pPr/>
      <w:r>
        <w:rPr>
          <w:rFonts w:ascii="Helvetica" w:hAnsi="Helvetica" w:cs="Helvetica"/>
          <w:sz w:val="24"/>
          <w:sz-cs w:val="24"/>
          <w:spacing w:val="0"/>
          <w:color w:val="000000"/>
        </w:rPr>
        <w:t xml:space="preserve">Smaller Players: 17% | Managers: 54% | Americas: 27%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first built using a top-down structure where enterprise digital transformation spend and industrial software demand are reconstructed into a digital twin demand pool, and then filtered through adoption by major verticals and deployment modes. We corroborate totals using selective bottom-up checks, such as sampled vendor revenue splits, channel and integration service intensity, and simple volume times ASP approximations for typical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used in the model include the share of cloud deployments versus on-premises, the rate of digital twin rollout across asset-heavy industries, subscription versus services mix, typical contract duration and renewal patterns, and regional enterprise IT spending direction. For forecasting, scenario analysis is used to reflect faster or slower adoption based on automation investments, AI enablement, and industrial output trends, and then reviewed with expert feedback to keep the assumptions realistic. When bottom-up coverage is patchy for a country or a smaller vertical, we fill gaps using peer-market ratios and verified penetration ranges rather than forcing a full supplier roll-up.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by checking that totals align with independent signals, including cloud and industrial software growth patterns, reported pipeline commentary from public companies, and observed deployment timing shared in interviews. Outliers are flagged, the assumptions behind them are revisited, and the model is reviewed in multiple analyst steps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adjustments are made when material events change pricing, deployment mix, or adoption pace. Before delivery, we do a final pass to confirm currency conversions, year labeling, and any major new releases or policy changes that could shift the near-term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Digital Twin Market Estimate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digital twin often do not match because the study boundary and timing choices can shift results, even when everyone is talking about the same theme. Differences usually come from which revenue lines are counted, how services are treated, and whether the estimate is tied to a specific currency conversion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refresh-led gap shows up often in this market because ASPs change quickly as cloud subscriptions, bundled analytics, and implementation services get repriced, and because annual renewals can move revenue recognition between years. When the pricing ladder and the currency timing are updated close to the study year, and then tested through re-contacts with industry participants, the estimate stays closer to what buyers and suppliers are seeing. This is the way the 2026 sizing is handled in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49.2 B (2026) | | </w:t>
      </w:r>
    </w:p>
    <w:p>
      <w:pPr/>
      <w:r>
        <w:rPr>
          <w:rFonts w:ascii="Helvetica" w:hAnsi="Helvetica" w:cs="Helvetica"/>
          <w:sz w:val="24"/>
          <w:sz-cs w:val="24"/>
          <w:spacing w:val="0"/>
          <w:color w:val="000000"/>
        </w:rPr>
        <w:t xml:space="preserve">Independent Research Publisher A | USD 27.53 B (2025) | Uses an earlier base year, and the lower value can result when services attached to deployments are treated more narrowly and when ASP progression is not stepped up to reflect newer cloud packaging. | </w:t>
      </w:r>
    </w:p>
    <w:p>
      <w:pPr/>
      <w:r>
        <w:rPr>
          <w:rFonts w:ascii="Helvetica" w:hAnsi="Helvetica" w:cs="Helvetica"/>
          <w:sz w:val="24"/>
          <w:sz-cs w:val="24"/>
          <w:spacing w:val="0"/>
          <w:color w:val="000000"/>
        </w:rPr>
        <w:t xml:space="preserve">Industry Research Group B | USD 14.7 B (2024) | Anchors sizing to an older year and can undercount newer subscription growth, especially if coverage leans toward monitoring use cases and does not fully scale the model for multi-vertical adoption expansion. | </w:t>
      </w:r>
    </w:p>
    <w:p>
      <w:pPr/>
      <w:r>
        <w:rPr>
          <w:rFonts w:ascii="Helvetica" w:hAnsi="Helvetica" w:cs="Helvetica"/>
          <w:sz w:val="24"/>
          <w:sz-cs w:val="24"/>
          <w:spacing w:val="0"/>
          <w:color w:val="000000"/>
        </w:rPr>
        <w:t xml:space="preserve">The spread is mainly explained by timing and what gets counted around platform plus services, followed by how quickly pricing assumptions are refreshed as cloud delivery expands. By keeping the scope tied to solutions and services for digital twin deployments and by checking ASP steps and regional mix during updates, our model stays traceable to clear demand indicators and can be repeated with the same inputs.</w:t>
      </w:r>
    </w:p>
    <w:p>
      <w:pPr/>
      <w:r>
        <w:rPr>
          <w:rFonts w:ascii="Helvetica" w:hAnsi="Helvetica" w:cs="Helvetica"/>
          <w:sz w:val="24"/>
          <w:sz-cs w:val="24"/>
          <w:spacing w:val="0"/>
          <w:color w:val="000000"/>
        </w:rPr>
        <w:t xml:space="preserve">Key Questions Answered in the ReportWhat is the current size of the digital twin market? The digital twin market size is USD 49.2 billion in 2026 and is projected to reach USD 228.46 billion by 2031 at a 35.95%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contributes the largest share to the digital twin market? Manufacturing leads with 35.10% market share in 2025, driven by smart-factory programs and mature IIoT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the fastest? Asia-Pacific is forecast to post a 26.0% CAGR through 2031, supported by large-scale government initiatives in China, India, and Japan.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growing faster than software platforms? As deployments scale, enterprises seek integration, data-governance, and performance-management expertise, pushing services to a 30%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barriers to wider adoption? Cyber-physical security vulnerabilities and a shortage of domain-specific modeling talent are the top constraints, collectively shaving more than 7% off potential growth.</w:t>
      </w:r>
    </w:p>
    <w:p>
      <w:pPr/>
      <w:r>
        <w:rPr>
          <w:rFonts w:ascii="Helvetica" w:hAnsi="Helvetica" w:cs="Helvetica"/>
          <w:sz w:val="24"/>
          <w:sz-cs w:val="24"/>
          <w:spacing w:val="0"/>
          <w:color w:val="000000"/>
        </w:rPr>
        <w:t xml:space="preserve">Related Reports Explore More ReportsIndustry Trends in Digital ContentDigital Education IndustryDigital Human IndustryIndustry Trends in Digital InfrastructureDigital Transformation (DX) Industry OverviewIndia Digital Transformation Industry OverviewReport on Marketing Technology IndustryReport on North America Digital Transformation IndustryReport on United Kingdom Digital Transformation IndustryUnited States Digital Transformation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