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Ecotourism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Specialty, Niche &amp; Experience Tourism (Hospitality &amp; Tourism)  </w:t>
      </w:r>
    </w:p>
    <w:p>
      <w:pPr/>
      <w:r>
        <w:rPr>
          <w:rFonts w:ascii="Helvetica Light" w:hAnsi="Helvetica Light" w:cs="Helvetica Light"/>
          <w:sz w:val="24"/>
          <w:sz-cs w:val="24"/>
        </w:rPr>
        <w:t xml:space="preserve">&gt; **Source:** [https://www.mordorintelligence.com/industry-reports/ecotourism-market](https://www.mordorintelligence.com/industry-reports/ecotourism-market)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354.94 billion |</w:t>
      </w:r>
    </w:p>
    <w:p>
      <w:pPr/>
      <w:r>
        <w:rPr>
          <w:rFonts w:ascii="Helvetica Light" w:hAnsi="Helvetica Light" w:cs="Helvetica Light"/>
          <w:sz w:val="24"/>
          <w:sz-cs w:val="24"/>
        </w:rPr>
        <w:t xml:space="preserve">| **Projected Forecast (2031)** | USD 354.94 billion |</w:t>
      </w:r>
    </w:p>
    <w:p>
      <w:pPr/>
      <w:r>
        <w:rPr>
          <w:rFonts w:ascii="Helvetica Light" w:hAnsi="Helvetica Light" w:cs="Helvetica Light"/>
          <w:sz w:val="24"/>
          <w:sz-cs w:val="24"/>
        </w:rPr>
        <w:t xml:space="preserve">| **Growth Rate (CAGR)** | 9.59 %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Ecotourism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![Ecotourism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![Ecotourism Market Share by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![Ecotourism Market Share by Booking Mode,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![Ecotourism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![Ecotourism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354.94 Billion | </w:t>
      </w:r>
    </w:p>
    <w:p>
      <w:pPr/>
      <w:r>
        <w:rPr>
          <w:rFonts w:ascii="Helvetica Light" w:hAnsi="Helvetica Light" w:cs="Helvetica Light"/>
          <w:sz w:val="24"/>
          <w:sz-cs w:val="24"/>
        </w:rPr>
        <w:t xml:space="preserve">Market Size (2031) | USD 561.13 Billion | </w:t>
      </w:r>
    </w:p>
    <w:p>
      <w:pPr/>
      <w:r>
        <w:rPr>
          <w:rFonts w:ascii="Helvetica Light" w:hAnsi="Helvetica Light" w:cs="Helvetica Light"/>
          <w:sz w:val="24"/>
          <w:sz-cs w:val="24"/>
        </w:rPr>
        <w:t xml:space="preserve">Growth Rate (2026 - 2031) | 9.59 %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Ecotourism Market Analysis by Mordor IntelligenceThe Ecotourism Market size is projected to expand from USD 320.74 billion in 2025 and USD 354.94 billion in 2026 to USD 561.13 billion by 2031, registering a CAGR of 9.59% between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ecotourism market is expanding on the back of protected-area investment, changing post-pandemic travel priorities, and tighter scrutiny of unverified sustainability claims across leisure travel. Government-backed conservation and community-tourism programs are also giving the ecotourism market a more durable supply base than many other travel formats, because they connect tourism growth with rural jobs, local enterprise, and protected-land management. At the same time, stronger certification frameworks and evidence rules are making credibility a larger commercial advantage, especially where platform visibility and booking conversion depend on verified standards rather than broad environmental claims. Growth is also being shaped by technology, as digital discovery, AI-led trip planning, and direct booking tools are improving access to lesser-known destinations while helping operators reduce their dependence on intermediaries. Even so, the ecotourism market still faces clear limits from premium pricing, weak last-mile infrastructure, and carrying-capacity controls that restrict revenue growth at fragile destinations despite healthy demand.[1]Global Sustainable Tourism Council, “GSTC Tour Operator Standard,” GSTC, gstc.org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type, Nature &amp; Wildlife Ecotourism held 38.42% of the ecotourism market share in 2025, while Marine &amp; Coastal Ecotourism is forecast to grow at a 10.74% CAGR through 2031.</w:t>
      </w:r>
    </w:p>
    <w:p>
      <w:pPr/>
      <w:r>
        <w:rPr>
          <w:rFonts w:ascii="Helvetica Light" w:hAnsi="Helvetica Light" w:cs="Helvetica Light"/>
          <w:sz w:val="24"/>
          <w:sz-cs w:val="24"/>
        </w:rPr>
        <w:t xml:space="preserve">* By travel party, Group travel accounted for 59.94% of revenue in 2025, while Solo travel is projected to expand at a 10.43% CAGR through 2031.</w:t>
      </w:r>
    </w:p>
    <w:p>
      <w:pPr/>
      <w:r>
        <w:rPr>
          <w:rFonts w:ascii="Helvetica Light" w:hAnsi="Helvetica Light" w:cs="Helvetica Light"/>
          <w:sz w:val="24"/>
          <w:sz-cs w:val="24"/>
        </w:rPr>
        <w:t xml:space="preserve">* By booking mode, Online Travel Agencies and Marketplaces accounted for 46.73% of bookings in 2025, while Direct bookings are expected to record the fastest growth at a 10.84% CAGR through 2031.</w:t>
      </w:r>
    </w:p>
    <w:p>
      <w:pPr/>
      <w:r>
        <w:rPr>
          <w:rFonts w:ascii="Helvetica Light" w:hAnsi="Helvetica Light" w:cs="Helvetica Light"/>
          <w:sz w:val="24"/>
          <w:sz-cs w:val="24"/>
        </w:rPr>
        <w:t xml:space="preserve">* By accommodation type, Eco-lodges accounted for 35.54% of revenue in 2025, while Glamping is set to grow at a 10.12% CAGR through 2031.</w:t>
      </w:r>
    </w:p>
    <w:p>
      <w:pPr/>
      <w:r>
        <w:rPr>
          <w:rFonts w:ascii="Helvetica Light" w:hAnsi="Helvetica Light" w:cs="Helvetica Light"/>
          <w:sz w:val="24"/>
          <w:sz-cs w:val="24"/>
        </w:rPr>
        <w:t xml:space="preserve">* By geography, Europe accounted for 33.75% of the ecotourism market in 2025, while Asia-Pacific is forecast to grow at a 10.75%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Ecotourism Market*Drivers | (~) % Impact on CAGR Forecast | Geographic Relevance | Impact Timeline | </w:t>
      </w:r>
    </w:p>
    <w:p>
      <w:pPr/>
      <w:r>
        <w:rPr>
          <w:rFonts w:ascii="Helvetica Light" w:hAnsi="Helvetica Light" w:cs="Helvetica Light"/>
          <w:sz w:val="24"/>
          <w:sz-cs w:val="24"/>
        </w:rPr>
        <w:t xml:space="preserve">Demand for Authentic, Low-Impact Nature Travel | +1.9% | Global | Medium term (2-4 years) | </w:t>
      </w:r>
    </w:p>
    <w:p>
      <w:pPr/>
      <w:r>
        <w:rPr>
          <w:rFonts w:ascii="Helvetica Light" w:hAnsi="Helvetica Light" w:cs="Helvetica Light"/>
          <w:sz w:val="24"/>
          <w:sz-cs w:val="24"/>
        </w:rPr>
        <w:t xml:space="preserve">Rising Eco-Conscious Traveler Base | +1.7% | Global, concentrated in North America &amp; Europe | Medium term (2-4 years) | </w:t>
      </w:r>
    </w:p>
    <w:p>
      <w:pPr/>
      <w:r>
        <w:rPr>
          <w:rFonts w:ascii="Helvetica Light" w:hAnsi="Helvetica Light" w:cs="Helvetica Light"/>
          <w:sz w:val="24"/>
          <w:sz-cs w:val="24"/>
        </w:rPr>
        <w:t xml:space="preserve">Protected-Area and Community-Tourism Policy Support | +1.4% | APAC, MEA, South America | Long term (≥ 4 years) | </w:t>
      </w:r>
    </w:p>
    <w:p>
      <w:pPr/>
      <w:r>
        <w:rPr>
          <w:rFonts w:ascii="Helvetica Light" w:hAnsi="Helvetica Light" w:cs="Helvetica Light"/>
          <w:sz w:val="24"/>
          <w:sz-cs w:val="24"/>
        </w:rPr>
        <w:t xml:space="preserve">Expansion of Eco-Lodges and Sustainable Stays | +1.5% | APAC, South America, MEA | Medium term (2-4 years) | </w:t>
      </w:r>
    </w:p>
    <w:p>
      <w:pPr/>
      <w:r>
        <w:rPr>
          <w:rFonts w:ascii="Helvetica Light" w:hAnsi="Helvetica Light" w:cs="Helvetica Light"/>
          <w:sz w:val="24"/>
          <w:sz-cs w:val="24"/>
        </w:rPr>
        <w:t xml:space="preserve">Third-Party Sustainability Certification-Led Booking Conversion | +1.1% | Europe, North America | Short term (≤ 2 years) | </w:t>
      </w:r>
    </w:p>
    <w:p>
      <w:pPr/>
      <w:r>
        <w:rPr>
          <w:rFonts w:ascii="Helvetica Light" w:hAnsi="Helvetica Light" w:cs="Helvetica Light"/>
          <w:sz w:val="24"/>
          <w:sz-cs w:val="24"/>
        </w:rPr>
        <w:t xml:space="preserve">AI-Led Dispersion to Less-Crowded Nature Destinations | +0.8% | Global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ecotourism market has a moderately concentrated structure, with a visible first tier of global brands and a much larger field of destination specialists operating beneath them. Leading names such as Intrepid Travel, G Adventures, Natural Habitat Adventures, and Lindblad Expeditions benefit from stronger brand recognition, broader distribution, and greater ability to absorb certification and compliance costs than smaller independent operators. At the same time, the ecotourism industry is not dominated by a handful of companies, because a large number of specialist firms continue to compete through local access, community relationships, and conservation credibility. This split is becoming more important as evidence rules, sustainability verification, and digital platform visibility raise the operating threshold for smaller firms. In effect, the ecotourism market is a rewarding scale where scale improves trust and distribution, while still leaving room for specialists that can prove authenticity on the ground.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 second layer of competition is forming around technology, booking ownership, and product personalization. AtlasIQ’s natural-language booking engine shows how operators can improve direct conversion by answering complex traveler questions in a way that standard listing pages often cannot. That matters because the ecotourism market often depends on detailed traveler intent around habitat access, impact, route difficulty, and local participation, which gives richer direct interfaces a clear advantage. Operators that invest in first-party data, AI-supported planning, and better digital storytelling are likely to capture more repeat business than those relying only on third-party distribution. This creates a competitive divide where some firms are building stronger customer ownership while others remain exposed to higher commissions and weaker visibility.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moves are also showing how the ecotourism market is broadening through new business models and specialist expansion. Expedition:Earth announced strategic investments in EXPLORE, Inc. in February 2026 and Iconic Adventures in April 2026, which illustrates a buy-and-build approach aimed at aggregating high-end specialist travel capabilities under shared infrastructure. Blue Alliance’s 2025 reef-positive tourism deployment in Indonesia shows another route, where marine protection and tourism operations are being linked through an impact-finance structure rather than through a conventional tour model. GSTC’s more specialized standards architecture is also influencing competition by making recognized certification more commercially useful for both hotels and tour operators. Together, these moves suggest that the ecotourism market is being shaped less by simple capacity expansion and more by credibility, distribution control, and the ability to package conservation value into scalable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Ecotourism Industry Leaders* Intrepid Travel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 Adventures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Wilderness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Natural Habitat Adventures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African Travel,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Ecotourism Market Report ScopeBy TypeNature &amp; Wildlife Ecotourism | </w:t>
      </w:r>
    </w:p>
    <w:p>
      <w:pPr/>
      <w:r>
        <w:rPr>
          <w:rFonts w:ascii="Helvetica Light" w:hAnsi="Helvetica Light" w:cs="Helvetica Light"/>
          <w:sz w:val="24"/>
          <w:sz-cs w:val="24"/>
        </w:rPr>
        <w:t xml:space="preserve">Marine &amp; Coastal Ecotourism | </w:t>
      </w:r>
    </w:p>
    <w:p>
      <w:pPr/>
      <w:r>
        <w:rPr>
          <w:rFonts w:ascii="Helvetica Light" w:hAnsi="Helvetica Light" w:cs="Helvetica Light"/>
          <w:sz w:val="24"/>
          <w:sz-cs w:val="24"/>
        </w:rPr>
        <w:t xml:space="preserve">Rural &amp; Community-Based Ecotourism | </w:t>
      </w:r>
    </w:p>
    <w:p>
      <w:pPr/>
      <w:r>
        <w:rPr>
          <w:rFonts w:ascii="Helvetica Light" w:hAnsi="Helvetica Light" w:cs="Helvetica Light"/>
          <w:sz w:val="24"/>
          <w:sz-cs w:val="24"/>
        </w:rPr>
        <w:t xml:space="preserve">Agri-Ecotourism | </w:t>
      </w:r>
    </w:p>
    <w:p>
      <w:pPr/>
      <w:r>
        <w:rPr>
          <w:rFonts w:ascii="Helvetica Light" w:hAnsi="Helvetica Light" w:cs="Helvetica Light"/>
          <w:sz w:val="24"/>
          <w:sz-cs w:val="24"/>
        </w:rPr>
        <w:t xml:space="preserve">Forest &amp; Mountain Ecotourism | </w:t>
      </w:r>
    </w:p>
    <w:p>
      <w:pPr/>
      <w:r>
        <w:rPr>
          <w:rFonts w:ascii="Helvetica Light" w:hAnsi="Helvetica Light" w:cs="Helvetica Light"/>
          <w:sz w:val="24"/>
          <w:sz-cs w:val="24"/>
        </w:rPr>
        <w:t xml:space="preserve">Conservation &amp; Educational Ecotourism | </w:t>
      </w:r>
    </w:p>
    <w:p>
      <w:pPr/>
      <w:r>
        <w:rPr>
          <w:rFonts w:ascii="Helvetica Light" w:hAnsi="Helvetica Light" w:cs="Helvetica Light"/>
          <w:sz w:val="24"/>
          <w:sz-cs w:val="24"/>
        </w:rPr>
        <w:t xml:space="preserve">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(Belgium, Netherlands, and Luxembourg) | </w:t>
      </w:r>
    </w:p>
    <w:p>
      <w:pPr/>
      <w:r>
        <w:rPr>
          <w:rFonts w:ascii="Helvetica Light" w:hAnsi="Helvetica Light" w:cs="Helvetica Light"/>
          <w:sz w:val="24"/>
          <w:sz-cs w:val="24"/>
        </w:rPr>
        <w:t xml:space="preserve"> | NORDICS (Denmark, Finland, Iceland, Norway, and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 East Asia (Singapore, Malaysia, Thailand, Indonesia, Vietnam, and Philippines)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ecotourism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sector is projected to reach USD 561.13 billion by 2031, up from USD 354.94 billion in 2026, reflecting a 9.59% CAGR over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global revenue and which region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held the largest share at 33.75% in 2025, while Asia-Pacific is forecast to grow the fastest at a 10.75%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type of travel product is largest in this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Nature &amp; Wildlife Ecotourism was the largest type segment in 2025 with a 38.42% share, supported by strong demand for guided wildlife and protected-area experiences.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changing in how travelers book these trips?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OTAs and marketplaces led bookings with a 46.73% share in 2025, but direct booking is growing faster at a 10.84% CAGR as operators adopt AI-enabled booking tools and seek lower commission dependence.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certification becoming more important for operators?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Certification now affects trust, compliance, and discoverability. As greenwashing rules tighten and recognized standards become more visible in booking environments, verified operators gain a stronger commercial position.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are the biggest limits on future expansion?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Premium pricing, weak transport and visitor infrastructure in remote sites, and carrying-capacity limits at fragile destinations are the main constraints on scaling supply and revenue.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