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Equipment Finance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Banking, Lending &amp; Treasury (Financial Services &amp; Investment Intelligence)  </w:t>
      </w:r>
    </w:p>
    <w:p>
      <w:pPr/>
      <w:r>
        <w:rPr>
          <w:rFonts w:ascii="Helvetica Light" w:hAnsi="Helvetica Light" w:cs="Helvetica Light"/>
          <w:sz w:val="24"/>
          <w:sz-cs w:val="24"/>
        </w:rPr>
        <w:t xml:space="preserve">&gt; **Source:** [https://www.mordorintelligence.com/industry-reports/equipment-finance-market](https://www.mordorintelligence.com/industry-reports/equipment-finance-market)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1.60 trillion |</w:t>
      </w:r>
    </w:p>
    <w:p>
      <w:pPr/>
      <w:r>
        <w:rPr>
          <w:rFonts w:ascii="Helvetica Light" w:hAnsi="Helvetica Light" w:cs="Helvetica Light"/>
          <w:sz w:val="24"/>
          <w:sz-cs w:val="24"/>
        </w:rPr>
        <w:t xml:space="preserve">| **Projected Forecast (2031)** | USD 1.60 trillion |</w:t>
      </w:r>
    </w:p>
    <w:p>
      <w:pPr/>
      <w:r>
        <w:rPr>
          <w:rFonts w:ascii="Helvetica Light" w:hAnsi="Helvetica Light" w:cs="Helvetica Light"/>
          <w:sz w:val="24"/>
          <w:sz-cs w:val="24"/>
        </w:rPr>
        <w:t xml:space="preserve">| **Growth Rate (CAGR)** | 5.60 %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Equipment Finance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Finance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Finance Market Share by Financing Product,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Finance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Finance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Finance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1.60 Trillion | </w:t>
      </w:r>
    </w:p>
    <w:p>
      <w:pPr/>
      <w:r>
        <w:rPr>
          <w:rFonts w:ascii="Helvetica Light" w:hAnsi="Helvetica Light" w:cs="Helvetica Light"/>
          <w:sz w:val="24"/>
          <w:sz-cs w:val="24"/>
        </w:rPr>
        <w:t xml:space="preserve">Market Size (2031) | USD 2.10 Trillion | </w:t>
      </w:r>
    </w:p>
    <w:p>
      <w:pPr/>
      <w:r>
        <w:rPr>
          <w:rFonts w:ascii="Helvetica Light" w:hAnsi="Helvetica Light" w:cs="Helvetica Light"/>
          <w:sz w:val="24"/>
          <w:sz-cs w:val="24"/>
        </w:rPr>
        <w:t xml:space="preserve">Growth Rate (2026 - 2031) | 5.60 %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Finance Market Analysis by Mordor IntelligenceThe Equipment Finance Market size is expected to increase from USD 1.5 trillion in 2025 to USD 1.60 trillion in 2026 and reach USD 2.10 trillion by 2031, growing at a CAGR of 5.60%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is being supported by investment in artificial intelligence infrastructure, manufacturing capacity, energy systems, and replacement equipment. Financing providers are responding by placing greater weight on flexible lease structures, faster approval processes, and manufacturer-supported programs that can address the differing needs of large enterprises, mid-sized borrowers, dealers, and specialized asset users. Banks retain a large role because of their funding capacity and established commercial relationships, while independents and captives are competing for transactions that require greater speed or sector knowledge. Higher funding costs and uncertainty over asset values continue to limit pricing flexibility, particularly for operating leases and technology equipment, where the expected resale value and the timing of replacement remain central to the provider’s return on each transaction. The equipment finance market is therefore growing through a mix of large capital projects and recurring replacement needs across business equipment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financing products, equipment loans, and title-finance products captured 47.6% of the equipment finance market share in 2025, while operating leases are projected to grow at 7.4% CAGR through 2031.</w:t>
      </w:r>
    </w:p>
    <w:p>
      <w:pPr/>
      <w:r>
        <w:rPr>
          <w:rFonts w:ascii="Helvetica Light" w:hAnsi="Helvetica Light" w:cs="Helvetica Light"/>
          <w:sz w:val="24"/>
          <w:sz-cs w:val="24"/>
        </w:rPr>
        <w:t xml:space="preserve">* By asset type, industrial, manufacturing, and materials-handling equipment captured 17.4% of the equipment finance market share in 2025, while IT, telecommunications, and office equipment are projected to grow at 9.2% CAGR through 2031.</w:t>
      </w:r>
    </w:p>
    <w:p>
      <w:pPr/>
      <w:r>
        <w:rPr>
          <w:rFonts w:ascii="Helvetica Light" w:hAnsi="Helvetica Light" w:cs="Helvetica Light"/>
          <w:sz w:val="24"/>
          <w:sz-cs w:val="24"/>
        </w:rPr>
        <w:t xml:space="preserve">* By end-user industry, manufacturing accounted for 21.7% of the equipment finance market size in 2025, while information and communications technology is projected to grow at 9.4% CAGR through 2031.</w:t>
      </w:r>
    </w:p>
    <w:p>
      <w:pPr/>
      <w:r>
        <w:rPr>
          <w:rFonts w:ascii="Helvetica Light" w:hAnsi="Helvetica Light" w:cs="Helvetica Light"/>
          <w:sz w:val="24"/>
          <w:sz-cs w:val="24"/>
        </w:rPr>
        <w:t xml:space="preserve">* By provider type, banks and bank-affiliated providers captured 56.2% of the equipment finance market size in 2025, while independent equipment finance companies are projected to grow at 7.2% CAGR through 2031.</w:t>
      </w:r>
    </w:p>
    <w:p>
      <w:pPr/>
      <w:r>
        <w:rPr>
          <w:rFonts w:ascii="Helvetica Light" w:hAnsi="Helvetica Light" w:cs="Helvetica Light"/>
          <w:sz w:val="24"/>
          <w:sz-cs w:val="24"/>
        </w:rPr>
        <w:t xml:space="preserve">* By geography, North America captured 39.8% of the equipment finance market in 2025, while Asia-Pacific is projected to grow at 7.1%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Equipment Finance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Asset-Light Capital Allocation and Working-Capital Preservation | +1.2% | Global, most pronounced in North America and Western Europe | Medium term (2-4 years) | </w:t>
      </w:r>
    </w:p>
    <w:p>
      <w:pPr/>
      <w:r>
        <w:rPr>
          <w:rFonts w:ascii="Helvetica Light" w:hAnsi="Helvetica Light" w:cs="Helvetica Light"/>
          <w:sz w:val="24"/>
          <w:sz-cs w:val="24"/>
        </w:rPr>
        <w:t xml:space="preserve">Equipment Replacement, Modernization, and Capital Investment | +1.5% | Global, AI-driven surge in North America, infrastructure-led in Asia-Pacific | Short term (≤ 2 years) | </w:t>
      </w:r>
    </w:p>
    <w:p>
      <w:pPr/>
      <w:r>
        <w:rPr>
          <w:rFonts w:ascii="Helvetica Light" w:hAnsi="Helvetica Light" w:cs="Helvetica Light"/>
          <w:sz w:val="24"/>
          <w:sz-cs w:val="24"/>
        </w:rPr>
        <w:t xml:space="preserve">SME and Mid-Market Access to Asset-Backed Financing | +0.8% | Asia-Pacific core, with spillover to Europe and South America | Medium term (2-4 years) | </w:t>
      </w:r>
    </w:p>
    <w:p>
      <w:pPr/>
      <w:r>
        <w:rPr>
          <w:rFonts w:ascii="Helvetica Light" w:hAnsi="Helvetica Light" w:cs="Helvetica Light"/>
          <w:sz w:val="24"/>
          <w:sz-cs w:val="24"/>
        </w:rPr>
        <w:t xml:space="preserve">OEM, Dealer, and Vendor-Supported Financing Programs | +0.9% | Global, with captive intensification in North America and the Asia-Pacific | Medium term (2-4 years) | </w:t>
      </w:r>
    </w:p>
    <w:p>
      <w:pPr/>
      <w:r>
        <w:rPr>
          <w:rFonts w:ascii="Helvetica Light" w:hAnsi="Helvetica Light" w:cs="Helvetica Light"/>
          <w:sz w:val="24"/>
          <w:sz-cs w:val="24"/>
        </w:rPr>
        <w:t xml:space="preserve">Digitalization of Equipment Finance Origination and Underwriting | +0.6% | North America and Europe, with rapid uptake in the Asia-Pacific | Medium term (2-4 years) | </w:t>
      </w:r>
    </w:p>
    <w:p>
      <w:pPr/>
      <w:r>
        <w:rPr>
          <w:rFonts w:ascii="Helvetica Light" w:hAnsi="Helvetica Light" w:cs="Helvetica Light"/>
          <w:sz w:val="24"/>
          <w:sz-cs w:val="24"/>
        </w:rPr>
        <w:t xml:space="preserve">Flexible Leasing and Usage-Based Equipment Models | +0.7% | Global, with the fastest behavioural shift in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equipment finance market is fragmented, with competition distributed across banks, bank-affiliated finance companies, independent lessors, specialty captives, and digital financing platforms. Banks maintain advantages through funding access and established business relationships, while manufacturer captives benefit from direct integration with dealers and equipment sales channels. Independent and specialty providers compete through customized financing structures, faster decision-making, asset expertise, and specialized customer service. Digital platforms are further increasing competition by streamlining application intake, underwriting, servicing, and portfolio monitoring. The market remains open to providers that can combine competitive funding, efficient technology, asset-specific expertise, and disciplined assessment of borrower credit quality and equipment residual values.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BNP Paribas Leasing Solutions expanded its European position through the April 2026 acquisition of Mercedes-Benz’s leasing business. The acquisition added a premium-asset leasing portfolio and expanded BNP Paribas’ consumer finance reach. Its CNH Capital partnership also supports usage-based equipment financing through an original equipment manufacturer channel. Caterpillar Financial Services reported USD 991 million in second-quarter 2026 revenue and continued strong retail new business volume. CNH Industrial Capital’s USD 600 million note issuance in June 2026 showed how captive providers are using capital markets to support customer and dealer finance programs. These actions show that provider strategies combine portfolio expansion, manufacturer relationships, and diversified funding.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Cross-border financing remains difficult where asset security and recovery practices vary across jurisdictions. This is particularly relevant in Asia-Pacific and the Middle East, where lenders may face higher transaction costs and more complex recovery procedures. The equipment finance market has room for providers that can standardize documentation, asset monitoring, and servicing across borders, since customers operating in more than 1 country may need consistent contractual processes even when local rules, equipment registration systems, tax treatments, and recovery procedures remain different. Higher funding costs may also reshape pricing competition between banks, captives, and independents, as each provider type balances its own cost of capital, customer relationships, asset specialization, and ability to offer financing terms that remain commercially viable. Artificial intelligence tools can support faster decisions, but they do not eliminate the need for asset expertise and credit discipline, because a financing provider must still understand the condition, expected use, residual-value profile, resale options, maintenance requirements, and legal ownership position associated with each asset category.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Finance Industry Leaders* BNP Paribas Leasing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Sumitomo Mitsui Finance and Leasing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DLL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Societe Generale Equipment Finance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Wells Fargo Equipment Finance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Equipment Finance Market Report ScopeBy Financing ProductEquipment loans and Title-Finance Products | </w:t>
      </w:r>
    </w:p>
    <w:p>
      <w:pPr/>
      <w:r>
        <w:rPr>
          <w:rFonts w:ascii="Helvetica Light" w:hAnsi="Helvetica Light" w:cs="Helvetica Light"/>
          <w:sz w:val="24"/>
          <w:sz-cs w:val="24"/>
        </w:rPr>
        <w:t xml:space="preserve">Finance Leases | </w:t>
      </w:r>
    </w:p>
    <w:p>
      <w:pPr/>
      <w:r>
        <w:rPr>
          <w:rFonts w:ascii="Helvetica Light" w:hAnsi="Helvetica Light" w:cs="Helvetica Light"/>
          <w:sz w:val="24"/>
          <w:sz-cs w:val="24"/>
        </w:rPr>
        <w:t xml:space="preserve">Operating Leases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equipment finance demand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Artificial intelligence infrastructure, equipment replacement, manufacturing investment, and flexible leasing structures are supporting demand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financing product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Operating leases are projected to grow at a 7.4% CAGR through 2031 as businesses seek more flexibility in equipment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asset category has the highest projected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telecommunications, and office equipment is projected to grow at a 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sector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Information and communications technology is projected to grow at a 9.4% CAGR through 2031, supported by artificial intelligence infrastructure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 7.1% CAGR through 2031, supported by infrastructure investment and expanding leasing activity.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risk for equipment financing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interest rates and funding costs remain a major concern, even as reported credit metrics remained stable in July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