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Europe Bulk Cargo Shipping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Maritime, Port &amp; Container Operations (Logistics &amp; Supply Chain)  </w:t>
      </w:r>
    </w:p>
    <w:p>
      <w:pPr/>
      <w:r>
        <w:rPr>
          <w:rFonts w:ascii="Helvetica Light" w:hAnsi="Helvetica Light" w:cs="Helvetica Light"/>
          <w:sz w:val="24"/>
          <w:sz-cs w:val="24"/>
        </w:rPr>
        <w:t xml:space="preserve">&gt; **Source:** [https://www.mordorintelligence.com/industry-reports/europe-bulk-cargo-shipping-market](https://www.mordorintelligence.com/industry-reports/europe-bulk-cargo-shipping-market)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111.76 billion |</w:t>
      </w:r>
    </w:p>
    <w:p>
      <w:pPr/>
      <w:r>
        <w:rPr>
          <w:rFonts w:ascii="Helvetica Light" w:hAnsi="Helvetica Light" w:cs="Helvetica Light"/>
          <w:sz w:val="24"/>
          <w:sz-cs w:val="24"/>
        </w:rPr>
        <w:t xml:space="preserve">| **Projected Forecast (2031)** | USD 111.76 billion |</w:t>
      </w:r>
    </w:p>
    <w:p>
      <w:pPr/>
      <w:r>
        <w:rPr>
          <w:rFonts w:ascii="Helvetica Light" w:hAnsi="Helvetica Light" w:cs="Helvetica Light"/>
          <w:sz w:val="24"/>
          <w:sz-cs w:val="24"/>
        </w:rPr>
        <w:t xml:space="preserve">| **Growth Rate (CAGR)** | 3.81 %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Europe Bulk Cargo Shipping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Bulk Cargo Shipping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Bulk Cargo Shipping Market Share by Cargo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Bulk Cargo Shipping Market Share by Shipping Route,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Bulk Cargo Shipping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107.46 Billion | </w:t>
      </w:r>
    </w:p>
    <w:p>
      <w:pPr/>
      <w:r>
        <w:rPr>
          <w:rFonts w:ascii="Helvetica Light" w:hAnsi="Helvetica Light" w:cs="Helvetica Light"/>
          <w:sz w:val="24"/>
          <w:sz-cs w:val="24"/>
        </w:rPr>
        <w:t xml:space="preserve">Market Size (2026) | USD 111.76 Billion | </w:t>
      </w:r>
    </w:p>
    <w:p>
      <w:pPr/>
      <w:r>
        <w:rPr>
          <w:rFonts w:ascii="Helvetica Light" w:hAnsi="Helvetica Light" w:cs="Helvetica Light"/>
          <w:sz w:val="24"/>
          <w:sz-cs w:val="24"/>
        </w:rPr>
        <w:t xml:space="preserve">Market Size (2031) | USD 134.72 Billion | </w:t>
      </w:r>
    </w:p>
    <w:p>
      <w:pPr/>
      <w:r>
        <w:rPr>
          <w:rFonts w:ascii="Helvetica Light" w:hAnsi="Helvetica Light" w:cs="Helvetica Light"/>
          <w:sz w:val="24"/>
          <w:sz-cs w:val="24"/>
        </w:rPr>
        <w:t xml:space="preserve">Growth Rate (2026 - 2032) | 3.81 %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Bulk Cargo Shipping Market Analysis by Mordor IntelligenceThe European bulk cargo shipping market size was valued at USD 107.46 billion in 2025 and is estimated to grow from USD 111.76 billion in 2026 to reach USD 134.72 billion by 2031, at a CAGR of 3.81% during the forecast period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European bulk cargo shipping market is shaped by changing energy supplies, fleet compliance requirements, and industrial sourcing routes. Cargo flows are becoming more varied as LNG, biomass, fertilizers, and specialized liquid products gain importance. Operators need to manage higher reporting requirements while maintaining dependable service through busy ports. Investment opportunities center on cleaner vessels, terminal upgrades, and better use of berth capacity. These conditions support demand, but they also increase the cost and operational discipline required to compete.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cargo type, dry bulk cargo held 62.63% of the Europe bulk cargo shipping market share in 2025, while liquid bulk cargo is forecast to grow at a 5.23% CAGR through 2031.</w:t>
      </w:r>
    </w:p>
    <w:p>
      <w:pPr/>
      <w:r>
        <w:rPr>
          <w:rFonts w:ascii="Helvetica Light" w:hAnsi="Helvetica Light" w:cs="Helvetica Light"/>
          <w:sz w:val="24"/>
          <w:sz-cs w:val="24"/>
        </w:rPr>
        <w:t xml:space="preserve">* By shipping route, international services accounted for 78.29% of the Europe bulk cargo shipping market size in 2025, while domestic (coastal) routes are forecast to grow at a 4.90% CAGR through 2031.</w:t>
      </w:r>
    </w:p>
    <w:p>
      <w:pPr/>
      <w:r>
        <w:rPr>
          <w:rFonts w:ascii="Helvetica Light" w:hAnsi="Helvetica Light" w:cs="Helvetica Light"/>
          <w:sz w:val="24"/>
          <w:sz-cs w:val="24"/>
        </w:rPr>
        <w:t xml:space="preserve">* By end-use industry, mining and metals accounted for 27.91% of the Europe bulk cargo shipping market share in 2025, while chemicals and petrochemicals are forecast to grow at a 5.67% CAGR through 2031.</w:t>
      </w:r>
    </w:p>
    <w:p>
      <w:pPr/>
      <w:r>
        <w:rPr>
          <w:rFonts w:ascii="Helvetica Light" w:hAnsi="Helvetica Light" w:cs="Helvetica Light"/>
          <w:sz w:val="24"/>
          <w:sz-cs w:val="24"/>
        </w:rPr>
        <w:t xml:space="preserve">* By country, the Netherlands held 14.09% of the Europe bulk cargo shipping market revenue in 2025, while Belgium is forecast to grow at a 6.44%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Bulk Cargo Shipping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Energy Transition Cargo Rebalancing | +1.2% | Global, with core effects on the North Sea, Baltic, and Mediterranean corridors | Medium term (2-4 years) | </w:t>
      </w:r>
    </w:p>
    <w:p>
      <w:pPr/>
      <w:r>
        <w:rPr>
          <w:rFonts w:ascii="Helvetica Light" w:hAnsi="Helvetica Light" w:cs="Helvetica Light"/>
          <w:sz w:val="24"/>
          <w:sz-cs w:val="24"/>
        </w:rPr>
        <w:t xml:space="preserve">Nearshoring Through European Bulk Corridors | +0.9% | Central and Eastern Europe, Benelux, Baltic Sea, and Rhine-delta gateways | Short term (≤ 2 years) | </w:t>
      </w:r>
    </w:p>
    <w:p>
      <w:pPr/>
      <w:r>
        <w:rPr>
          <w:rFonts w:ascii="Helvetica Light" w:hAnsi="Helvetica Light" w:cs="Helvetica Light"/>
          <w:sz w:val="24"/>
          <w:sz-cs w:val="24"/>
        </w:rPr>
        <w:t xml:space="preserve">Inland-Waterway and Short-Sea Modal Shift | +0.7% | Netherlands, Belgium, Germany, the Rhine-Scheldt basin, and the Nordic routes | Medium term (2-4 years) | </w:t>
      </w:r>
    </w:p>
    <w:p>
      <w:pPr/>
      <w:r>
        <w:rPr>
          <w:rFonts w:ascii="Helvetica Light" w:hAnsi="Helvetica Light" w:cs="Helvetica Light"/>
          <w:sz w:val="24"/>
          <w:sz-cs w:val="24"/>
        </w:rPr>
        <w:t xml:space="preserve">Port Incentives for Cleaner Bulk Vessels | +0.5% | Rotterdam, Antwerp, Hamburg, and Mediterranean ports | Medium term (2-4 years) | </w:t>
      </w:r>
    </w:p>
    <w:p>
      <w:pPr/>
      <w:r>
        <w:rPr>
          <w:rFonts w:ascii="Helvetica Light" w:hAnsi="Helvetica Light" w:cs="Helvetica Light"/>
          <w:sz w:val="24"/>
          <w:sz-cs w:val="24"/>
        </w:rPr>
        <w:t xml:space="preserve">Replacement Demand for Aging Short-Sea Fleets | +0.4% | European short-sea network, Nordic routes, and Baltic Sea routes | Long term (≥ 4 years) | </w:t>
      </w:r>
    </w:p>
    <w:p>
      <w:pPr/>
      <w:r>
        <w:rPr>
          <w:rFonts w:ascii="Helvetica Light" w:hAnsi="Helvetica Light" w:cs="Helvetica Light"/>
          <w:sz w:val="24"/>
          <w:sz-cs w:val="24"/>
        </w:rPr>
        <w:t xml:space="preserve">Digital Berth Scheduling and Cargo Visibility | +0.3% | Northern European ports, Benelux terminals, and the Rhine corridor | Short term (≤ 2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European bulk cargo shipping market is moderately concentrated, with diversified operators, short-sea specialists, and traders all serving different cargo and route needs. The market comprises operators with varying geographic and cargo-specific strengths across dry bulk, liquid bulk, and European route categories. MOL completed its acquisition of a 72% stake in Gearbulk in 2025, adding 60 open-hatch bulk carriers and taking its dry-bulk fleet to 338 vessels. The transaction expanded the company’s specialty-bulk network in Europe. Star Bulk continued its energy-saving device program during 2025, completing 55 of 80 planned installations. It also received 3 of the 8 scheduled Kamsarmax newbuildings in the second quarter of 2026. These actions show that fleet efficiency and compliance readiness have become important competitive measures. The European bulk cargo shipping market rewards companies that can invest in vessels while preserving service flexibility.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aging short-sea fleet is an important opportunity for carriers with access to financing and modern vessel designs. More than 50% of the European short-sea fleet operating now is over 20 years old. Operators with FuelEU-aligned tonnage can respond to cargo tenders that include emissions criteria. Oldendorff Carriers installed Starlink low-earth-orbit connectivity on more than 80 owned bulk carriers in June 2026. The project supports real-time data exchange and operating visibility across its fleet. Cuxport introduced Kaleris Navis Mixed Cargo Terminal Operating System in January 2025 to digitize billing and improve cargo handling. Digital vessel and terminal tools are becoming practical requirements for efficient port calls. Larger operators can spread technology and compliance costs across more ships and contracts.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 emissions rules can encourage consolidation because scale helps companies manage technology investment and compliance pools. Smaller operators can remain relevant when they serve specialized routes, cargoes, or customer relationships. Fleet quality, terminal access, and dependable scheduling are more important than a single standardized operating model. Commodity traders that integrate freight capacity can also manage exposure to supply-chain disruption. Port congestion and labor interruptions may favor companies with broader network options and stronger customer communication. Competition will remain multi-tiered because the region requires different vessel classes and cargo-handling capabilities.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Bulk Cargo Shipping Industry Leaders* Oldendorff Carriers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Ultrabulk A/S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Star Bulk Carriers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Golden Ocean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Berge Bulk</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Bulk Cargo Shipping Market Report ScopeBy Cargo TypeDry Bulk Cargo | Iron Ore | </w:t>
      </w:r>
    </w:p>
    <w:p>
      <w:pPr/>
      <w:r>
        <w:rPr>
          <w:rFonts w:ascii="Helvetica Light" w:hAnsi="Helvetica Light" w:cs="Helvetica Light"/>
          <w:sz w:val="24"/>
          <w:sz-cs w:val="24"/>
        </w:rPr>
        <w:t xml:space="preserve"> | Coal | </w:t>
      </w:r>
    </w:p>
    <w:p>
      <w:pPr/>
      <w:r>
        <w:rPr>
          <w:rFonts w:ascii="Helvetica Light" w:hAnsi="Helvetica Light" w:cs="Helvetica Light"/>
          <w:sz w:val="24"/>
          <w:sz-cs w:val="24"/>
        </w:rPr>
        <w:t xml:space="preserve"> | Grain (Wheat, Corn, Soybeans, etc.) | </w:t>
      </w:r>
    </w:p>
    <w:p>
      <w:pPr/>
      <w:r>
        <w:rPr>
          <w:rFonts w:ascii="Helvetica Light" w:hAnsi="Helvetica Light" w:cs="Helvetica Light"/>
          <w:sz w:val="24"/>
          <w:sz-cs w:val="24"/>
        </w:rPr>
        <w:t xml:space="preserve"> | Fertilizers | </w:t>
      </w:r>
    </w:p>
    <w:p>
      <w:pPr/>
      <w:r>
        <w:rPr>
          <w:rFonts w:ascii="Helvetica Light" w:hAnsi="Helvetica Light" w:cs="Helvetica Light"/>
          <w:sz w:val="24"/>
          <w:sz-cs w:val="24"/>
        </w:rPr>
        <w:t xml:space="preserve"> | Cement &amp; Clinker | </w:t>
      </w:r>
    </w:p>
    <w:p>
      <w:pPr/>
      <w:r>
        <w:rPr>
          <w:rFonts w:ascii="Helvetica Light" w:hAnsi="Helvetica Light" w:cs="Helvetica Light"/>
          <w:sz w:val="24"/>
          <w:sz-cs w:val="24"/>
        </w:rPr>
        <w:t xml:space="preserve"> | Bauxite &amp; Alumina | </w:t>
      </w:r>
    </w:p>
    <w:p>
      <w:pPr/>
      <w:r>
        <w:rPr>
          <w:rFonts w:ascii="Helvetica Light" w:hAnsi="Helvetica Light" w:cs="Helvetica Light"/>
          <w:sz w:val="24"/>
          <w:sz-cs w:val="24"/>
        </w:rPr>
        <w:t xml:space="preserve"> | Steel Products | </w:t>
      </w:r>
    </w:p>
    <w:p>
      <w:pPr/>
      <w:r>
        <w:rPr>
          <w:rFonts w:ascii="Helvetica Light" w:hAnsi="Helvetica Light" w:cs="Helvetica Light"/>
          <w:sz w:val="24"/>
          <w:sz-cs w:val="24"/>
        </w:rPr>
        <w:t xml:space="preserve"> | Other Minor Dry Bulk Commodities | </w:t>
      </w:r>
    </w:p>
    <w:p>
      <w:pPr/>
      <w:r>
        <w:rPr>
          <w:rFonts w:ascii="Helvetica Light" w:hAnsi="Helvetica Light" w:cs="Helvetica Light"/>
          <w:sz w:val="24"/>
          <w:sz-cs w:val="24"/>
        </w:rPr>
        <w:t xml:space="preserve">Liquid Bulk Cargo | Crude Oil | </w:t>
      </w:r>
    </w:p>
    <w:p>
      <w:pPr/>
      <w:r>
        <w:rPr>
          <w:rFonts w:ascii="Helvetica Light" w:hAnsi="Helvetica Light" w:cs="Helvetica Light"/>
          <w:sz w:val="24"/>
          <w:sz-cs w:val="24"/>
        </w:rPr>
        <w:t xml:space="preserve"> | Refined Petroleum Products | </w:t>
      </w:r>
    </w:p>
    <w:p>
      <w:pPr/>
      <w:r>
        <w:rPr>
          <w:rFonts w:ascii="Helvetica Light" w:hAnsi="Helvetica Light" w:cs="Helvetica Light"/>
          <w:sz w:val="24"/>
          <w:sz-cs w:val="24"/>
        </w:rPr>
        <w:t xml:space="preserve"> | Liquefied Natural Gas (LNG) | </w:t>
      </w:r>
    </w:p>
    <w:p>
      <w:pPr/>
      <w:r>
        <w:rPr>
          <w:rFonts w:ascii="Helvetica Light" w:hAnsi="Helvetica Light" w:cs="Helvetica Light"/>
          <w:sz w:val="24"/>
          <w:sz-cs w:val="24"/>
        </w:rPr>
        <w:t xml:space="preserve"> | Liquefied Petroleum Gas (LPG) | </w:t>
      </w:r>
    </w:p>
    <w:p>
      <w:pPr/>
      <w:r>
        <w:rPr>
          <w:rFonts w:ascii="Helvetica Light" w:hAnsi="Helvetica Light" w:cs="Helvetica Light"/>
          <w:sz w:val="24"/>
          <w:sz-cs w:val="24"/>
        </w:rPr>
        <w:t xml:space="preserve"> | Chemicals | </w:t>
      </w:r>
    </w:p>
    <w:p>
      <w:pPr/>
      <w:r>
        <w:rPr>
          <w:rFonts w:ascii="Helvetica Light" w:hAnsi="Helvetica Light" w:cs="Helvetica Light"/>
          <w:sz w:val="24"/>
          <w:sz-cs w:val="24"/>
        </w:rPr>
        <w:t xml:space="preserve"> | Edible &amp; Vegetable Oils | </w:t>
      </w:r>
    </w:p>
    <w:p>
      <w:pPr/>
      <w:r>
        <w:rPr>
          <w:rFonts w:ascii="Helvetica Light" w:hAnsi="Helvetica Light" w:cs="Helvetica Light"/>
          <w:sz w:val="24"/>
          <w:sz-cs w:val="24"/>
        </w:rPr>
        <w:t xml:space="preserve"> | Molasses | </w:t>
      </w:r>
    </w:p>
    <w:p>
      <w:pPr/>
      <w:r>
        <w:rPr>
          <w:rFonts w:ascii="Helvetica Light" w:hAnsi="Helvetica Light" w:cs="Helvetica Light"/>
          <w:sz w:val="24"/>
          <w:sz-cs w:val="24"/>
        </w:rPr>
        <w:t xml:space="preserve"> | Other Liquid Bulk Commodities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CountryUnited Kingdom | </w:t>
      </w:r>
    </w:p>
    <w:p>
      <w:pPr/>
      <w:r>
        <w:rPr>
          <w:rFonts w:ascii="Helvetica Light" w:hAnsi="Helvetica Light" w:cs="Helvetica Light"/>
          <w:sz w:val="24"/>
          <w:sz-cs w:val="24"/>
        </w:rPr>
        <w:t xml:space="preserve">Germany | </w:t>
      </w:r>
    </w:p>
    <w:p>
      <w:pPr/>
      <w:r>
        <w:rPr>
          <w:rFonts w:ascii="Helvetica Light" w:hAnsi="Helvetica Light" w:cs="Helvetica Light"/>
          <w:sz w:val="24"/>
          <w:sz-cs w:val="24"/>
        </w:rPr>
        <w:t xml:space="preserve">France | </w:t>
      </w:r>
    </w:p>
    <w:p>
      <w:pPr/>
      <w:r>
        <w:rPr>
          <w:rFonts w:ascii="Helvetica Light" w:hAnsi="Helvetica Light" w:cs="Helvetica Light"/>
          <w:sz w:val="24"/>
          <w:sz-cs w:val="24"/>
        </w:rPr>
        <w:t xml:space="preserve">Spain | </w:t>
      </w:r>
    </w:p>
    <w:p>
      <w:pPr/>
      <w:r>
        <w:rPr>
          <w:rFonts w:ascii="Helvetica Light" w:hAnsi="Helvetica Light" w:cs="Helvetica Light"/>
          <w:sz w:val="24"/>
          <w:sz-cs w:val="24"/>
        </w:rPr>
        <w:t xml:space="preserve">Italy | </w:t>
      </w:r>
    </w:p>
    <w:p>
      <w:pPr/>
      <w:r>
        <w:rPr>
          <w:rFonts w:ascii="Helvetica Light" w:hAnsi="Helvetica Light" w:cs="Helvetica Light"/>
          <w:sz w:val="24"/>
          <w:sz-cs w:val="24"/>
        </w:rPr>
        <w:t xml:space="preserve">Belgium | </w:t>
      </w:r>
    </w:p>
    <w:p>
      <w:pPr/>
      <w:r>
        <w:rPr>
          <w:rFonts w:ascii="Helvetica Light" w:hAnsi="Helvetica Light" w:cs="Helvetica Light"/>
          <w:sz w:val="24"/>
          <w:sz-cs w:val="24"/>
        </w:rPr>
        <w:t xml:space="preserve">Netherlands | </w:t>
      </w:r>
    </w:p>
    <w:p>
      <w:pPr/>
      <w:r>
        <w:rPr>
          <w:rFonts w:ascii="Helvetica Light" w:hAnsi="Helvetica Light" w:cs="Helvetica Light"/>
          <w:sz w:val="24"/>
          <w:sz-cs w:val="24"/>
        </w:rPr>
        <w:t xml:space="preserve">NORDICS (Denmark, Finland, Iceland, Norway, and Sweden) | </w:t>
      </w:r>
    </w:p>
    <w:p>
      <w:pPr/>
      <w:r>
        <w:rPr>
          <w:rFonts w:ascii="Helvetica Light" w:hAnsi="Helvetica Light" w:cs="Helvetica Light"/>
          <w:sz w:val="24"/>
          <w:sz-cs w:val="24"/>
        </w:rPr>
        <w:t xml:space="preserve">Rest of Europe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value of the European bulk cargo shipping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European bulk cargo shipping market size was USD 111.76 billion in 2026 and is forecast to reach USD 134.72 billion by 2031 at a 3.81%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cargo category leads European bulk shipping?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Dry bulk led in 2025, supported by iron ore, grain, fertilizers, cement, and steel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LNG important to European bulk cargo shipping?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Rotterdam handled 13 million tons of LNG in 2025, up 15.1% from 2024, reflecting changes in European energy supply.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routes are important for bulk cargo movements in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International routes form the main volume base, while short-sea and inland-waterway routes can gain from modal-shift policies and fleet renewal.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slowing European shipping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Emissions compliance costs, congestion, labor interruptions, cyclic demand, and limited terminal capacity can affect cost and schedule reliability.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companies responding to new requirements?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Companies are investing in cleaner fleets, vessel efficiency, digital connectivity, berth planning, and terminal upgrades.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