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Europe Clearing Houses And Settlements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Capital Markets, Securities &amp; Trading (Financial Services &amp; Investment Intelligence)  </w:t>
      </w:r>
    </w:p>
    <w:p>
      <w:pPr/>
      <w:r>
        <w:rPr>
          <w:rFonts w:ascii="Helvetica Light" w:hAnsi="Helvetica Light" w:cs="Helvetica Light"/>
          <w:sz w:val="24"/>
          <w:sz-cs w:val="24"/>
        </w:rPr>
        <w:t xml:space="preserve">&gt; **Source:** [https://www.mordorintelligence.com/industry-reports/europe-clearing-houses-and-settlements-market](https://www.mordorintelligence.com/industry-reports/europe-clearing-houses-and-settlements-market)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2.69 trillion |</w:t>
      </w:r>
    </w:p>
    <w:p>
      <w:pPr/>
      <w:r>
        <w:rPr>
          <w:rFonts w:ascii="Helvetica Light" w:hAnsi="Helvetica Light" w:cs="Helvetica Light"/>
          <w:sz w:val="24"/>
          <w:sz-cs w:val="24"/>
        </w:rPr>
        <w:t xml:space="preserve">| **Projected Forecast (2031)** | USD 2.69 trillion |</w:t>
      </w:r>
    </w:p>
    <w:p>
      <w:pPr/>
      <w:r>
        <w:rPr>
          <w:rFonts w:ascii="Helvetica Light" w:hAnsi="Helvetica Light" w:cs="Helvetica Light"/>
          <w:sz w:val="24"/>
          <w:sz-cs w:val="24"/>
        </w:rPr>
        <w:t xml:space="preserve">| **Growth Rate (CAGR)** | 1.52 %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Europe Clearing Houses And Settlements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Clearing Houses And Settlements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Clearing Houses and Settlements Market: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Clearing Houses and Settlements Market: Market Share by Service,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Clearing Houses And Settlements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2.05 Quadrillion | </w:t>
      </w:r>
    </w:p>
    <w:p>
      <w:pPr/>
      <w:r>
        <w:rPr>
          <w:rFonts w:ascii="Helvetica Light" w:hAnsi="Helvetica Light" w:cs="Helvetica Light"/>
          <w:sz w:val="24"/>
          <w:sz-cs w:val="24"/>
        </w:rPr>
        <w:t xml:space="preserve">Market Size (2026) | USD 2.08 Quadrillion | </w:t>
      </w:r>
    </w:p>
    <w:p>
      <w:pPr/>
      <w:r>
        <w:rPr>
          <w:rFonts w:ascii="Helvetica Light" w:hAnsi="Helvetica Light" w:cs="Helvetica Light"/>
          <w:sz w:val="24"/>
          <w:sz-cs w:val="24"/>
        </w:rPr>
        <w:t xml:space="preserve">Market Size (2031) | USD 2.24 Quadrillion | </w:t>
      </w:r>
    </w:p>
    <w:p>
      <w:pPr/>
      <w:r>
        <w:rPr>
          <w:rFonts w:ascii="Helvetica Light" w:hAnsi="Helvetica Light" w:cs="Helvetica Light"/>
          <w:sz w:val="24"/>
          <w:sz-cs w:val="24"/>
        </w:rPr>
        <w:t xml:space="preserve">Growth Rate (2026 - 2031) | 1.52 %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Clearing Houses And Settlements Market Analysis by Mordor IntelligenceThe European clearing houses and settlements market size was valued at USD 2.05 quadrillion in 2025 and estimated to grow from USD 2.08 quadrillion in 2026 to reach USD 2.24 quadrillion by 2031, at a CAGR of 1.52% during the forecast period (2026-2031). Rising investment in regulatory-led automation, rapid migration to T+1 settlement cycles, and the European Central Bank’s consolidation of TARGET Services underpin this expansion[1]European Central Bank, “Eurosystem launches ECMS and extends TARGET Services to Danmarks Nationalbank,” ecb.europa.eu . Stress-testing results published by ESMA in 2024 exposed concentration risks at major central counterparties, forcing incumbents to upgrade risk engines and deepen capital buffers, thereby reinforcing high entry barriers. Simultaneously, Basel III end-game collateral rules that took effect in January 2025 are channelling bilateral derivatives flows into central clearing, widening the revenue base for leading platforms. Digital-ledger pilots under the EU DLT-Pilot Regime add another structural tailwind by unlocking smart-contract clearing use cases now being trailed in Germany and the Netherlands.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outward clearing houses held 55.74% of the Europe clearing houses and settlements market share in 2025, inward clearing houses are projected to expand at a 7.32% CAGR through 2031, the fastest within the type segmentation. </w:t>
      </w:r>
    </w:p>
    <w:p>
      <w:pPr/>
      <w:r>
        <w:rPr>
          <w:rFonts w:ascii="Helvetica Light" w:hAnsi="Helvetica Light" w:cs="Helvetica Light"/>
          <w:sz w:val="24"/>
          <w:sz-cs w:val="24"/>
        </w:rPr>
        <w:t xml:space="preserve">* By service, TARGET2 captured 41.32% of the Europe clearing houses and settlements market size in 2025, SEPA services are forecast to grow at a 6.49% CAGR to 2031, the highest within the service segmentation. </w:t>
      </w:r>
    </w:p>
    <w:p>
      <w:pPr/>
      <w:r>
        <w:rPr>
          <w:rFonts w:ascii="Helvetica Light" w:hAnsi="Helvetica Light" w:cs="Helvetica Light"/>
          <w:sz w:val="24"/>
          <w:sz-cs w:val="24"/>
        </w:rPr>
        <w:t xml:space="preserve">* By participant type, banks commanded 65.05% of the Europe clearing houses and settlements market size in 2025, payment service providers are set to grow at an 8.23% CAGR through 2031, outpacing all other participant groups. </w:t>
      </w:r>
    </w:p>
    <w:p>
      <w:pPr/>
      <w:r>
        <w:rPr>
          <w:rFonts w:ascii="Helvetica Light" w:hAnsi="Helvetica Light" w:cs="Helvetica Light"/>
          <w:sz w:val="24"/>
          <w:sz-cs w:val="24"/>
        </w:rPr>
        <w:t xml:space="preserve">* By geography, the United Kingdom commanded 18.62% of the European clearing houses and settlements market size in 2025, and the Nordics are set to grow at a 5.87%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Clearing Houses And Settlements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Mandatory migration to T+1 settlement cycles | +2.1% | EU-wide, early adoption in Germany and France | Medium term (2-4 years) | </w:t>
      </w:r>
    </w:p>
    <w:p>
      <w:pPr/>
      <w:r>
        <w:rPr>
          <w:rFonts w:ascii="Helvetica Light" w:hAnsi="Helvetica Light" w:cs="Helvetica Light"/>
          <w:sz w:val="24"/>
          <w:sz-cs w:val="24"/>
        </w:rPr>
        <w:t xml:space="preserve">ECB consolidation of TARGET Services | +1.8% | Eurozone, extending to DKK and other currencies | Short term (≤ 2 years) | </w:t>
      </w:r>
    </w:p>
    <w:p>
      <w:pPr/>
      <w:r>
        <w:rPr>
          <w:rFonts w:ascii="Helvetica Light" w:hAnsi="Helvetica Light" w:cs="Helvetica Light"/>
          <w:sz w:val="24"/>
          <w:sz-cs w:val="24"/>
        </w:rPr>
        <w:t xml:space="preserve">Pan-European ETF &amp; derivatives volume surge | +1.4% | Frankfurt and Amsterdam hubs | Long term (≥ 4 years) | </w:t>
      </w:r>
    </w:p>
    <w:p>
      <w:pPr/>
      <w:r>
        <w:rPr>
          <w:rFonts w:ascii="Helvetica Light" w:hAnsi="Helvetica Light" w:cs="Helvetica Light"/>
          <w:sz w:val="24"/>
          <w:sz-cs w:val="24"/>
        </w:rPr>
        <w:t xml:space="preserve">Basel III collateral rules | +1.2% | EU and UK, spillover to Switzerland | Short term (≤ 2 years) | </w:t>
      </w:r>
    </w:p>
    <w:p>
      <w:pPr/>
      <w:r>
        <w:rPr>
          <w:rFonts w:ascii="Helvetica Light" w:hAnsi="Helvetica Light" w:cs="Helvetica Light"/>
          <w:sz w:val="24"/>
          <w:sz-cs w:val="24"/>
        </w:rPr>
        <w:t xml:space="preserve">DLT-based smart-contract clearing pilots | +0.9% | Germany, the Netherlands, and France | Long term (≥ 4 years) | </w:t>
      </w:r>
    </w:p>
    <w:p>
      <w:pPr/>
      <w:r>
        <w:rPr>
          <w:rFonts w:ascii="Helvetica Light" w:hAnsi="Helvetica Light" w:cs="Helvetica Light"/>
          <w:sz w:val="24"/>
          <w:sz-cs w:val="24"/>
        </w:rPr>
        <w:t xml:space="preserve">ESG-linked repo demand | +0.7% | Nordics, Germany, Netherlands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Five leading platforms—Euroclear, Clearstream, Eurex Clearing, LCH, and SIX x-clear—jointly hold a significant share of the European clearing houses and settlements market, establishing formidable economies of scale. Capital-intensive regulatory compliance further insulates incumbents, with ESMA’s 2024 stress tests compelling sizable capital top-ups. Vertical integration proliferates as clearing houses acquire data analytics firms to embed value-added services, exemplified by Eurex’s investment in HQLAX for blockchain-enabled collateral management.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Technology-led partnerships dominate strategic agendas. Euroclear collaborates with cloud providers to run settlement nodes on distributed infrastructure, promising sub-millisecond latency for high-frequency trading clients. Clearstream advances AI-based anomaly detection to pre-empt settlement-fail risks, a feature increasingly demanded by asset managers wary of T+1 penalties. Medium-sized CCPs explore merger options to attain scale or niche down into specialized asset classes such as freight or carbon credits.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focus on resilience channels 10-15% of operating budgets into cybersecurity and disaster recovery. While this diverts capital from fee-reducing initiatives, it differentiates platforms able to demonstrate Tier-4 data-center redundancy. Competitive pricing remains fierce, yet incumbents leverage integrated collateral, data, and reporting suites to offset list-price declines. White-space opportunities persist in digital-asset clearing, ESG-linked derivatives, and real-time cross-currency settlements, segments where regulatory frameworks are still crystallizing and first-mover advantage could re-order rankings.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Clearing Houses And Settlements Industry Leaders* Euroclear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Clearstream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LCH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SIX x-clear &amp; Euronext Securities (combined)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DTCC EuroCCP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report, the market covers the value of clearing and settlement activity handled by financial market infrastructure in Europe, where transactions are confirmed, risk is managed, and transfers are finalized through recognized clearing and settlement workflows.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The sizing excludes trading venue revenues, broker commissions, and banking lending income that sit outside post-trade clearing and settlement processing.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Outward Clearing House</w:t>
      </w:r>
    </w:p>
    <w:p>
      <w:pPr/>
      <w:r>
        <w:rPr>
          <w:rFonts w:ascii="Helvetica Light" w:hAnsi="Helvetica Light" w:cs="Helvetica Light"/>
          <w:sz w:val="24"/>
          <w:sz-cs w:val="24"/>
        </w:rPr>
        <w:t xml:space="preserve">* Inward Clearing House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TARGET2</w:t>
      </w:r>
    </w:p>
    <w:p>
      <w:pPr/>
      <w:r>
        <w:rPr>
          <w:rFonts w:ascii="Helvetica Light" w:hAnsi="Helvetica Light" w:cs="Helvetica Light"/>
          <w:sz w:val="24"/>
          <w:sz-cs w:val="24"/>
        </w:rPr>
        <w:t xml:space="preserve">* SEPA</w:t>
      </w:r>
    </w:p>
    <w:p>
      <w:pPr/>
      <w:r>
        <w:rPr>
          <w:rFonts w:ascii="Helvetica Light" w:hAnsi="Helvetica Light" w:cs="Helvetica Light"/>
          <w:sz w:val="24"/>
          <w:sz-cs w:val="24"/>
        </w:rPr>
        <w:t xml:space="preserve">* EBICS</w:t>
      </w:r>
    </w:p>
    <w:p>
      <w:pPr/>
      <w:r>
        <w:rPr>
          <w:rFonts w:ascii="Helvetica Light" w:hAnsi="Helvetica Light" w:cs="Helvetica Light"/>
          <w:sz w:val="24"/>
          <w:sz-cs w:val="24"/>
        </w:rPr>
        <w:t xml:space="preserve">* Other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Participant Type* Banks</w:t>
      </w:r>
    </w:p>
    <w:p>
      <w:pPr/>
      <w:r>
        <w:rPr>
          <w:rFonts w:ascii="Helvetica Light" w:hAnsi="Helvetica Light" w:cs="Helvetica Light"/>
          <w:sz w:val="24"/>
          <w:sz-cs w:val="24"/>
        </w:rPr>
        <w:t xml:space="preserve">* Investment &amp; Clearing Brokers</w:t>
      </w:r>
    </w:p>
    <w:p>
      <w:pPr/>
      <w:r>
        <w:rPr>
          <w:rFonts w:ascii="Helvetica Light" w:hAnsi="Helvetica Light" w:cs="Helvetica Light"/>
          <w:sz w:val="24"/>
          <w:sz-cs w:val="24"/>
        </w:rPr>
        <w:t xml:space="preserve">* Payment Service Providers (PSPs)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Luxembourg)</w:t>
      </w:r>
    </w:p>
    <w:p>
      <w:pPr/>
      <w:r>
        <w:rPr>
          <w:rFonts w:ascii="Helvetica Light" w:hAnsi="Helvetica Light" w:cs="Helvetica Light"/>
          <w:sz w:val="24"/>
          <w:sz-cs w:val="24"/>
        </w:rPr>
        <w:t xml:space="preserve">* NORDICS (Denmark, Finland, Iceland, Norway,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European clearing houses and settlements market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reach USD 2.24 quadrillion by 2031, growing at a 1.52%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will T+1 settlement affect post-trade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T+1 implementation is expected to reduce settlement fails significantly and increase demand for straight-through processing and real-time collateral management.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segment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SEPA instant-payment services lead growth, advancing at a 6.49% CAGR through 2031 on the back of EU instant-payment mandates.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payment service providers gaining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PSPs leverage open-banking regulations and cloud-native technology to offer agile, cost-efficient clearing access, supporting an 8.23%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does Basel III play in shaping collateral 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Basel III end-game rules elevate initial margin on non-cleared derivatives, pushing more transactions into central clearing and boosting collateral-optimization revenues for CCPs.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within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Nordic countries post the highest regional CAGR at 5.87% owing to advanced digital infrastructure and harmonized regulatory frameworks.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