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Europe Mutual Fund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Wealth, Asset Management &amp; Private Equity (Financial Services &amp; Investment Intelligence)  </w:t>
      </w:r>
    </w:p>
    <w:p>
      <w:pPr/>
      <w:r>
        <w:rPr>
          <w:rFonts w:ascii="Helvetica Light" w:hAnsi="Helvetica Light" w:cs="Helvetica Light"/>
          <w:sz w:val="24"/>
          <w:sz-cs w:val="24"/>
        </w:rPr>
        <w:t xml:space="preserve">&gt; **Source:** [https://www.mordorintelligence.com/industry-reports/europe-mutual-fund-industry](https://www.mordorintelligence.com/industry-reports/europe-mutual-fund-industry)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43.01 trillion |</w:t>
      </w:r>
    </w:p>
    <w:p>
      <w:pPr/>
      <w:r>
        <w:rPr>
          <w:rFonts w:ascii="Helvetica Light" w:hAnsi="Helvetica Light" w:cs="Helvetica Light"/>
          <w:sz w:val="24"/>
          <w:sz-cs w:val="24"/>
        </w:rPr>
        <w:t xml:space="preserve">| **Projected Forecast (2031)** | USD 43.01 trillion |</w:t>
      </w:r>
    </w:p>
    <w:p>
      <w:pPr/>
      <w:r>
        <w:rPr>
          <w:rFonts w:ascii="Helvetica Light" w:hAnsi="Helvetica Light" w:cs="Helvetica Light"/>
          <w:sz w:val="24"/>
          <w:sz-cs w:val="24"/>
        </w:rPr>
        <w:t xml:space="preserve">| **Growth Rate (CAGR)** | 3.54 %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Europe Mutual Fund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Mutual Fund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Mutual Fund Market Share by Asset Class,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Mutual Fund Market Share by Investor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Mutual Fund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41.54 Trillion | </w:t>
      </w:r>
    </w:p>
    <w:p>
      <w:pPr/>
      <w:r>
        <w:rPr>
          <w:rFonts w:ascii="Helvetica Light" w:hAnsi="Helvetica Light" w:cs="Helvetica Light"/>
          <w:sz w:val="24"/>
          <w:sz-cs w:val="24"/>
        </w:rPr>
        <w:t xml:space="preserve">Market Size (2026) | USD 43.01 Trillion | </w:t>
      </w:r>
    </w:p>
    <w:p>
      <w:pPr/>
      <w:r>
        <w:rPr>
          <w:rFonts w:ascii="Helvetica Light" w:hAnsi="Helvetica Light" w:cs="Helvetica Light"/>
          <w:sz w:val="24"/>
          <w:sz-cs w:val="24"/>
        </w:rPr>
        <w:t xml:space="preserve">Market Size (2031) | USD 51.18 Trillion | </w:t>
      </w:r>
    </w:p>
    <w:p>
      <w:pPr/>
      <w:r>
        <w:rPr>
          <w:rFonts w:ascii="Helvetica Light" w:hAnsi="Helvetica Light" w:cs="Helvetica Light"/>
          <w:sz w:val="24"/>
          <w:sz-cs w:val="24"/>
        </w:rPr>
        <w:t xml:space="preserve">Growth Rate (2026 - 2031) | 3.54 %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Mutual Fund Market Analysis by Mordor IntelligenceEurope Mutual Fund Market size in 2026 is estimated at USD 43.01 trillion, growing from 2025 value of USD 41.54 trillion with 2031 projections showing USD 51.18 trillion, growing at 3.54% CAGR over 2026-2031. Steady asset growth rests on a blend of supportive regulation, rising digital distribution, and deepening investor appetite for ESG strategies. Fee compression remains a headwind, yet scale economies, product innovation, and cross-border passporting are helping managers protect margins. The European Securities and Markets Authority’s stricter ESG-name guidelines, combined with the Sustainable Finance Disclosure Regulation’s Article 8 and Article 9 classifications, are channelling new money into compliant products while accelerating product rationalization among laggards. Capital Markets Union reforms continue to trim frictions in multi-jurisdictional marketing and settlement, giving the Europe mutual fund market wider access to both retail and institutional flows. Technology adoption from robo-advice to fund-unit tokenization is widening the addressable audience, cutting distribution costs, and providing data-rich servicing models that improve client retention. Macroeconomic normalization is reviving bond-fund demand as investors seek duration and credit-spread capture without abandoning equity allocations. With the top five managers controlling only 30.80% of assets, competitive intensity remains high, creating room for specialized boutiques to scale on thematic and alternative strategies.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asset class, equity funds captured 38.35% of the Europe mutual Fund Market size in 2025, while bond funds are forecast to post the fastest 9.98% CAGR through 2031.</w:t>
      </w:r>
    </w:p>
    <w:p>
      <w:pPr/>
      <w:r>
        <w:rPr>
          <w:rFonts w:ascii="Helvetica Light" w:hAnsi="Helvetica Light" w:cs="Helvetica Light"/>
          <w:sz w:val="24"/>
          <w:sz-cs w:val="24"/>
        </w:rPr>
        <w:t xml:space="preserve">* By investor type, retail investors accounted for 56.10% of the Europe mutual Fund Market size in 2025, whereas institutional assets exhibit the highest projected 7.49% CAGR to 2031.</w:t>
      </w:r>
    </w:p>
    <w:p>
      <w:pPr/>
      <w:r>
        <w:rPr>
          <w:rFonts w:ascii="Helvetica Light" w:hAnsi="Helvetica Light" w:cs="Helvetica Light"/>
          <w:sz w:val="24"/>
          <w:sz-cs w:val="24"/>
        </w:rPr>
        <w:t xml:space="preserve">* By distribution channel, banks led with 44.20% of the Europe mutual Fund Market size in 2025, but online platforms are advancing at a 16.85% CAGR through 2031.</w:t>
      </w:r>
    </w:p>
    <w:p>
      <w:pPr/>
      <w:r>
        <w:rPr>
          <w:rFonts w:ascii="Helvetica Light" w:hAnsi="Helvetica Light" w:cs="Helvetica Light"/>
          <w:sz w:val="24"/>
          <w:sz-cs w:val="24"/>
        </w:rPr>
        <w:t xml:space="preserve">* By geography, the United Kingdom commanded 26.18% of the Europe mutual Fund Market size in 2025, yet Spain is poised to expand at a 9.14%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Europe Mutual Fund Market*Driver | (~) % Impact on CAGR Forecast | Geographic Relevance | Impact Timeline | </w:t>
      </w:r>
    </w:p>
    <w:p>
      <w:pPr/>
      <w:r>
        <w:rPr>
          <w:rFonts w:ascii="Helvetica Light" w:hAnsi="Helvetica Light" w:cs="Helvetica Light"/>
          <w:sz w:val="24"/>
          <w:sz-cs w:val="24"/>
        </w:rPr>
        <w:t xml:space="preserve">ESG-aligned fund shift | +1.2% | Core EU with spillover to UK | Medium term (2-4 years) | </w:t>
      </w:r>
    </w:p>
    <w:p>
      <w:pPr/>
      <w:r>
        <w:rPr>
          <w:rFonts w:ascii="Helvetica Light" w:hAnsi="Helvetica Light" w:cs="Helvetica Light"/>
          <w:sz w:val="24"/>
          <w:sz-cs w:val="24"/>
        </w:rPr>
        <w:t xml:space="preserve">Persistently low rates until 2027 | +0.8% | Eurozone core | Short term (≤ 2 years) | </w:t>
      </w:r>
    </w:p>
    <w:p>
      <w:pPr/>
      <w:r>
        <w:rPr>
          <w:rFonts w:ascii="Helvetica Light" w:hAnsi="Helvetica Light" w:cs="Helvetica Light"/>
          <w:sz w:val="24"/>
          <w:sz-cs w:val="24"/>
        </w:rPr>
        <w:t xml:space="preserve">Capital Markets Union expansion | +0.6% | EU-27 excluding UK and Switzerland | Long term (≥ 4 years) | </w:t>
      </w:r>
    </w:p>
    <w:p>
      <w:pPr/>
      <w:r>
        <w:rPr>
          <w:rFonts w:ascii="Helvetica Light" w:hAnsi="Helvetica Light" w:cs="Helvetica Light"/>
          <w:sz w:val="24"/>
          <w:sz-cs w:val="24"/>
        </w:rPr>
        <w:t xml:space="preserve">Rising robo-advisory adoption | +0.9% | Nordic leadership | Medium term (2-4 years) | </w:t>
      </w:r>
    </w:p>
    <w:p>
      <w:pPr/>
      <w:r>
        <w:rPr>
          <w:rFonts w:ascii="Helvetica Light" w:hAnsi="Helvetica Light" w:cs="Helvetica Light"/>
          <w:sz w:val="24"/>
          <w:sz-cs w:val="24"/>
        </w:rPr>
        <w:t xml:space="preserve">Tokenization of fund units | +0.3% | Luxembourg-centered pilot markets | Long term (≥ 4 years) | </w:t>
      </w:r>
    </w:p>
    <w:p>
      <w:pPr/>
      <w:r>
        <w:rPr>
          <w:rFonts w:ascii="Helvetica Light" w:hAnsi="Helvetica Light" w:cs="Helvetica Light"/>
          <w:sz w:val="24"/>
          <w:sz-cs w:val="24"/>
        </w:rPr>
        <w:t xml:space="preserve">ELTIF 2.0 cross-border passporting | +0.4% | EU-27 retail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in the Europe mutual fund market remains moderate, with the top five managers holding 30.80% of combined assets, leaving meaningful headroom for mid-sized and niche specialists. BlackRock leads at 9.8%, leveraging broad passive, active, and alternative capabilities and the Aladdin risk-analytics platform that deepens institutional partnerships. Amundi follows at 7.3%, combining scale manufacturing with local-market proximity and recently finalized partnerships that expand U.S. distribution while funneling ESG UCITS back into Europe. Vanguard’s cost-leadership model magnifies passive pressure, while DWS and UBS round out the top five through robust regional wealth networks and focused thematic strategies. Fee compression stimulates consolidation; Goldman Sachs Asset Management’s acquisition of NN Investment Partners underscores the trend toward bolting on European distribution and ESG competence.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differentiation increasingly rests on sustainable-investing credentials, data-science prowess, and digital client engagement. Firms pour capital into AI infrastructure to automate portfolio construction, classify ESG controversies, and personalize reporting, thereby spreading fixed costs across larger asset bases. Tokenization pilots, such as DWS’s money-market-fund launch on Polygon, showcase attempts to redefine liquidity and settlement speed, forging first-mover advantages in operational efficiency. Partnerships between asset managers and fintechs, typified by Intesa Sanpaolo’s 10-year pact with BlackRock’s Aladdin Wealth, signal a shift toward ecosystem playbooks rather than purely organic buildouts. Middle-office outsourcing gains traction as managers focus on alpha-generation and distribution, handing non-core functions to specialized providers who enjoy economies of scale across multiple sponsors.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Regulation acts as both a moat and a catalyst: MiFID II cost-transparency requirements elevate switching sensitivity, rewarding firms with clean-share structures and competitive TERs; SFDR compliance costs hamper small entrants yet advantage incumbents that amortize data frameworks across hundreds of strategies. Cross-border marketing efficiencies from CMU lower marginal expansion cost, enabling scalable platforms to penetrate secondary markets quickly and crowd out local boutiques without a differentiated edge. Specialty managers able to articulate high-conviction thematic or alternative expertise maintain pricing power despite ongoing fee wars. Overall, innovation, cost discipline, and regulatory fluency determine winners and dictate how quickly the Europe mutual fund market consolidates or fragments over the next five years.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Mutual Fund Industry Leaders* BlackRock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Amundi</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DWS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Schroders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Allianz Global Investors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is measured as the value of assets held in Europe-focused mutual funds, expressed as assets under management (AUM) and reported in USD for consistency across countries and time.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It excludes discretionary mandates, separately managed accounts, and direct holdings outside mutual fund wrappers (including most insurance general account assets).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Asset Class* Equity</w:t>
      </w:r>
    </w:p>
    <w:p>
      <w:pPr/>
      <w:r>
        <w:rPr>
          <w:rFonts w:ascii="Helvetica Light" w:hAnsi="Helvetica Light" w:cs="Helvetica Light"/>
          <w:sz w:val="24"/>
          <w:sz-cs w:val="24"/>
        </w:rPr>
        <w:t xml:space="preserve">* Bond</w:t>
      </w:r>
    </w:p>
    <w:p>
      <w:pPr/>
      <w:r>
        <w:rPr>
          <w:rFonts w:ascii="Helvetica Light" w:hAnsi="Helvetica Light" w:cs="Helvetica Light"/>
          <w:sz w:val="24"/>
          <w:sz-cs w:val="24"/>
        </w:rPr>
        <w:t xml:space="preserve">* Hybrid</w:t>
      </w:r>
    </w:p>
    <w:p>
      <w:pPr/>
      <w:r>
        <w:rPr>
          <w:rFonts w:ascii="Helvetica Light" w:hAnsi="Helvetica Light" w:cs="Helvetica Light"/>
          <w:sz w:val="24"/>
          <w:sz-cs w:val="24"/>
        </w:rPr>
        <w:t xml:space="preserve">* Money Market</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Investor Type* Retail</w:t>
      </w:r>
    </w:p>
    <w:p>
      <w:pPr/>
      <w:r>
        <w:rPr>
          <w:rFonts w:ascii="Helvetica Light" w:hAnsi="Helvetica Light" w:cs="Helvetica Light"/>
          <w:sz w:val="24"/>
          <w:sz-cs w:val="24"/>
        </w:rPr>
        <w:t xml:space="preserve">* Institutional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Banks</w:t>
      </w:r>
    </w:p>
    <w:p>
      <w:pPr/>
      <w:r>
        <w:rPr>
          <w:rFonts w:ascii="Helvetica Light" w:hAnsi="Helvetica Light" w:cs="Helvetica Light"/>
          <w:sz w:val="24"/>
          <w:sz-cs w:val="24"/>
        </w:rPr>
        <w:t xml:space="preserve">* Online Platforms</w:t>
      </w:r>
    </w:p>
    <w:p>
      <w:pPr/>
      <w:r>
        <w:rPr>
          <w:rFonts w:ascii="Helvetica Light" w:hAnsi="Helvetica Light" w:cs="Helvetica Light"/>
          <w:sz w:val="24"/>
          <w:sz-cs w:val="24"/>
        </w:rPr>
        <w:t xml:space="preserve">* Financial Advisors</w:t>
      </w:r>
    </w:p>
    <w:p>
      <w:pPr/>
      <w:r>
        <w:rPr>
          <w:rFonts w:ascii="Helvetica Light" w:hAnsi="Helvetica Light" w:cs="Helvetica Light"/>
          <w:sz w:val="24"/>
          <w:sz-cs w:val="24"/>
        </w:rPr>
        <w:t xml:space="preserve">* Direct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 Netherlands, Luxembourg)</w:t>
      </w:r>
    </w:p>
    <w:p>
      <w:pPr/>
      <w:r>
        <w:rPr>
          <w:rFonts w:ascii="Helvetica Light" w:hAnsi="Helvetica Light" w:cs="Helvetica Light"/>
          <w:sz w:val="24"/>
          <w:sz-cs w:val="24"/>
        </w:rPr>
        <w:t xml:space="preserve">* NORDICS (Denmark, Finland, Iceland, Norway,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Europe Mutual Fund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reached USD 43.01 trillion in 2026 and is projected to grow at a 3.54% CAGR to USD 51.18 trillion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asset class holds the biggest share of European mutual-fund assets?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Equity funds lead with a 38.35% share, reflecting sustained demand for growth and ESG-tilted strategies.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distribution channel is growing fastest across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investment platforms post the quickest expansion, advancing at a 16.85% CAGR through 2031 as digital engagement deepens.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Spain considered a high-growth mutual-fund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Pension reforms that shift responsibility to individuals, coupled with mobile-first platforms, fuel a 9.14% forecast CAGR for Spanish-domiciled assets.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demographic trends influencing mutual-fund flows?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Aging populations in Germany and Italy are shifting assets toward income-focused and decumulation strategies, moderating overall equity inflows.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role does tokenization play in European mutual funds?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Pilot projects such as tokenized money-market funds promise near-instant settlement and fractional ownership, potentially reshaping liquidity and investor access.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