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Europe Pharmaceutical Cold Chain Logistics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Cold Chain &amp; Healthcare Logistics (Logistics &amp; Supply Chain)  </w:t>
      </w:r>
    </w:p>
    <w:p>
      <w:pPr/>
      <w:r>
        <w:rPr>
          <w:rFonts w:ascii="Helvetica Light" w:hAnsi="Helvetica Light" w:cs="Helvetica Light"/>
          <w:sz w:val="24"/>
          <w:sz-cs w:val="24"/>
        </w:rPr>
        <w:t xml:space="preserve">&gt; **Source:** [https://www.mordorintelligence.com/industry-reports/europe-pharmaceutical-cold-chain-logistics-market](https://www.mordorintelligence.com/industry-reports/europe-pharmaceutical-cold-chain-logistics-market)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22.58 billion |</w:t>
      </w:r>
    </w:p>
    <w:p>
      <w:pPr/>
      <w:r>
        <w:rPr>
          <w:rFonts w:ascii="Helvetica Light" w:hAnsi="Helvetica Light" w:cs="Helvetica Light"/>
          <w:sz w:val="24"/>
          <w:sz-cs w:val="24"/>
        </w:rPr>
        <w:t xml:space="preserve">| **Projected Forecast (2031)** | USD 22.58 billion |</w:t>
      </w:r>
    </w:p>
    <w:p>
      <w:pPr/>
      <w:r>
        <w:rPr>
          <w:rFonts w:ascii="Helvetica Light" w:hAnsi="Helvetica Light" w:cs="Helvetica Light"/>
          <w:sz w:val="24"/>
          <w:sz-cs w:val="24"/>
        </w:rPr>
        <w:t xml:space="preserve">| **Growth Rate (CAGR)** | 4.59 %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Europe Pharmaceutical Cold Chain Logistics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Pharmaceutical Cold Chain Logistics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Pharmaceutical Cold Chain Logistics Market Share by Services,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Pharmaceutical Cold Chain Logistics Market Share by Product,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Pharmaceutical Cold Chain Logistics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21.5 Billion | </w:t>
      </w:r>
    </w:p>
    <w:p>
      <w:pPr/>
      <w:r>
        <w:rPr>
          <w:rFonts w:ascii="Helvetica Light" w:hAnsi="Helvetica Light" w:cs="Helvetica Light"/>
          <w:sz w:val="24"/>
          <w:sz-cs w:val="24"/>
        </w:rPr>
        <w:t xml:space="preserve">Market Size (2026) | USD 22.58 Billion | </w:t>
      </w:r>
    </w:p>
    <w:p>
      <w:pPr/>
      <w:r>
        <w:rPr>
          <w:rFonts w:ascii="Helvetica Light" w:hAnsi="Helvetica Light" w:cs="Helvetica Light"/>
          <w:sz w:val="24"/>
          <w:sz-cs w:val="24"/>
        </w:rPr>
        <w:t xml:space="preserve">Market Size (2031) | USD 28.26 Billion | </w:t>
      </w:r>
    </w:p>
    <w:p>
      <w:pPr/>
      <w:r>
        <w:rPr>
          <w:rFonts w:ascii="Helvetica Light" w:hAnsi="Helvetica Light" w:cs="Helvetica Light"/>
          <w:sz w:val="24"/>
          <w:sz-cs w:val="24"/>
        </w:rPr>
        <w:t xml:space="preserve">Growth Rate (2026 - 2031) | 4.59 %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Pharmaceutical Cold Chain Logistics Market Analysis by Mordor IntelligenceThe Europe pharmaceutical cold chain logistics market size is projected to expand from USD 21.50 billion in 2025 and USD 22.58 billion in 2026 to USD 28.26 billion by 2031, registering a CAGR of 4.59% between 2026 and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Demand grows as maternal immunization and respiratory syncytial virus vaccine roll-outs transform year-round distribution patterns, while cell and gene therapy approvals push requirements for ultra-low temperature handling. Serialization mandates under EU legislation elevate the need for value-added tracking and relabelling, and the EU Corporate Sustainability Reporting Directive spurs a shift toward reusable passive packaging that rewards providers with capital for green investments. At the same time, the F-gas phase-down obliges operators to phase out hydrofluorocarbon systems, tilting competitive advantage to firms able to finance natural-refrigerant retrofits. Automation, robotics, and IoT visibility tools drive productivity gains, but growing cyber-risks demand hardened digital infrastructure across the entire Europe pharmaceutical cold chain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services, transportation services held 61.76% of the Europe pharmaceutical cold chain logistics market share in 2025, while value-added services are forecast to expand at a 5.27% CAGR through 2031.</w:t>
      </w:r>
    </w:p>
    <w:p>
      <w:pPr/>
      <w:r>
        <w:rPr>
          <w:rFonts w:ascii="Helvetica Light" w:hAnsi="Helvetica Light" w:cs="Helvetica Light"/>
          <w:sz w:val="24"/>
          <w:sz-cs w:val="24"/>
        </w:rPr>
        <w:t xml:space="preserve">* By temperature type, chilled products commanded 40.88% of the Europe pharmaceutical cold chain logistics market size in 2025, yet deep-frozen and ultra-low services are projected to advance at a 5.61% CAGR between 2026 and 2031.</w:t>
      </w:r>
    </w:p>
    <w:p>
      <w:pPr/>
      <w:r>
        <w:rPr>
          <w:rFonts w:ascii="Helvetica Light" w:hAnsi="Helvetica Light" w:cs="Helvetica Light"/>
          <w:sz w:val="24"/>
          <w:sz-cs w:val="24"/>
        </w:rPr>
        <w:t xml:space="preserve">* By product, branded drugs led with a 56.34% market share in 2025, whereas specialty and orphan drugs are set to post the fastest growth at a 5.91% CAGR to 2031.</w:t>
      </w:r>
    </w:p>
    <w:p>
      <w:pPr/>
      <w:r>
        <w:rPr>
          <w:rFonts w:ascii="Helvetica Light" w:hAnsi="Helvetica Light" w:cs="Helvetica Light"/>
          <w:sz w:val="24"/>
          <w:sz-cs w:val="24"/>
        </w:rPr>
        <w:t xml:space="preserve">* By end user, pharmaceutical manufacturers accounted for 40.69% of the Europe pharmaceutical cold chain logistics market size in 2025, but biotech and biosimilar manufacturers are expected to register a 6.27% CAGR over 2026-2031.</w:t>
      </w:r>
    </w:p>
    <w:p>
      <w:pPr/>
      <w:r>
        <w:rPr>
          <w:rFonts w:ascii="Helvetica Light" w:hAnsi="Helvetica Light" w:cs="Helvetica Light"/>
          <w:sz w:val="24"/>
          <w:sz-cs w:val="24"/>
        </w:rPr>
        <w:t xml:space="preserve">* By geography, Germany held 21.05% of the market share in 2025, whereas the Netherlands is poised to grow at a 5.70%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Pharmaceutical Cold Chain Logistics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Surge in RSV and maternal vaccine launches | +0.9% | EU-wide, led by Germany, France, United Kingdom, Spain | Medium term (2-4 years) | </w:t>
      </w:r>
    </w:p>
    <w:p>
      <w:pPr/>
      <w:r>
        <w:rPr>
          <w:rFonts w:ascii="Helvetica Light" w:hAnsi="Helvetica Light" w:cs="Helvetica Light"/>
          <w:sz w:val="24"/>
          <w:sz-cs w:val="24"/>
        </w:rPr>
        <w:t xml:space="preserve">Expansion of specialty pharmacy and home infusion networks | +0.7% | Nordic countries, Netherlands, Germany, United Kingdom | Medium term (2-4 years) | </w:t>
      </w:r>
    </w:p>
    <w:p>
      <w:pPr/>
      <w:r>
        <w:rPr>
          <w:rFonts w:ascii="Helvetica Light" w:hAnsi="Helvetica Light" w:cs="Helvetica Light"/>
          <w:sz w:val="24"/>
          <w:sz-cs w:val="24"/>
        </w:rPr>
        <w:t xml:space="preserve">Investment boom in automated cold warehouses and robotics | +0.8% | Germany, Netherlands, Belgium, France | Long term (≥ 4 years) | </w:t>
      </w:r>
    </w:p>
    <w:p>
      <w:pPr/>
      <w:r>
        <w:rPr>
          <w:rFonts w:ascii="Helvetica Light" w:hAnsi="Helvetica Light" w:cs="Helvetica Light"/>
          <w:sz w:val="24"/>
          <w:sz-cs w:val="24"/>
        </w:rPr>
        <w:t xml:space="preserve">Cross-border Brexit corridor relabelling hubs | +0.5% | Netherlands, Belgium, Ireland, France | Short term (≤ 2 years) | </w:t>
      </w:r>
    </w:p>
    <w:p>
      <w:pPr/>
      <w:r>
        <w:rPr>
          <w:rFonts w:ascii="Helvetica Light" w:hAnsi="Helvetica Light" w:cs="Helvetica Light"/>
          <w:sz w:val="24"/>
          <w:sz-cs w:val="24"/>
        </w:rPr>
        <w:t xml:space="preserve">EU-CSRD push toward reusable passive packaging | +0.4% | EU-wide, led by Germany, Netherlands, Nordic countries | Long term (≥ 4 years) | </w:t>
      </w:r>
    </w:p>
    <w:p>
      <w:pPr/>
      <w:r>
        <w:rPr>
          <w:rFonts w:ascii="Helvetica Light" w:hAnsi="Helvetica Light" w:cs="Helvetica Light"/>
          <w:sz w:val="24"/>
          <w:sz-cs w:val="24"/>
        </w:rPr>
        <w:t xml:space="preserve">Near-shoring of API and fill-finish to Central-Eastern Europe | +0.6% | Poland, Czech Republic, Hungary, Romania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DHL Supply Chain, Kuehne + Nagel, and UPS head the field with continent-wide GDP networks and capital to automate warehouses. DHL’s EUR 2 billion (USD 2.35 billion) program adds Pharma Hubs equipped for multi-temperature docking and AI route optimization. UPS strengthened European reach via the CAD 2.2 billion (USD 1.60 billion) acquisition of Andlauer Healthcare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Regional specialists like Movianto and Trans-o-flex capture therapeutic niches, leveraging bespoke packaging and last-mile fleets to differentiate. Cold Chain Technologies’ energy-positive shipper plant in Breda aligns with EU-CSRD goals, appealing to sustainability-focused tenders. F-gas compliance accelerates consolidation, as retrofits exceed EUR 5 million (USD 5.88 million) for mid-sized depots, unaffordable for some independents.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Technological rivalry intensifies around IoT telemetry, blockchain traceability, and warehouse robotics. Cyber-risk resilience becomes a selling point after the 2024 ransomware incident that froze customer portals. Providers offering end-to-end dashboards and 24/7 security operations command premium pricing, reinforcing a moderate-to-high concentration structure for the Europe pharmaceutical cold chain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Pharmaceutical Cold Chain Logistics Industry Leaders* DHL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Kuehne+Nagel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United Parcel Service of America, Inc. (UPS)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DSV 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CMA CGM Group (including CEVA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Pharmaceutical Cold Chain Logistics Market Report ScopeBy ServicesTransportation | Road | </w:t>
      </w:r>
    </w:p>
    <w:p>
      <w:pPr/>
      <w:r>
        <w:rPr>
          <w:rFonts w:ascii="Helvetica Light" w:hAnsi="Helvetica Light" w:cs="Helvetica Light"/>
          <w:sz w:val="24"/>
          <w:sz-cs w:val="24"/>
        </w:rPr>
        <w:t xml:space="preserve"> | Air | </w:t>
      </w:r>
    </w:p>
    <w:p>
      <w:pPr/>
      <w:r>
        <w:rPr>
          <w:rFonts w:ascii="Helvetica Light" w:hAnsi="Helvetica Light" w:cs="Helvetica Light"/>
          <w:sz w:val="24"/>
          <w:sz-cs w:val="24"/>
        </w:rPr>
        <w:t xml:space="preserve"> | Sea | </w:t>
      </w:r>
    </w:p>
    <w:p>
      <w:pPr/>
      <w:r>
        <w:rPr>
          <w:rFonts w:ascii="Helvetica Light" w:hAnsi="Helvetica Light" w:cs="Helvetica Light"/>
          <w:sz w:val="24"/>
          <w:sz-cs w:val="24"/>
        </w:rPr>
        <w:t xml:space="preserve"> | Rail | </w:t>
      </w:r>
    </w:p>
    <w:p>
      <w:pPr/>
      <w:r>
        <w:rPr>
          <w:rFonts w:ascii="Helvetica Light" w:hAnsi="Helvetica Light" w:cs="Helvetica Light"/>
          <w:sz w:val="24"/>
          <w:sz-cs w:val="24"/>
        </w:rPr>
        <w:t xml:space="preserve">Warehousing and Distribution | </w:t>
      </w:r>
    </w:p>
    <w:p>
      <w:pPr/>
      <w:r>
        <w:rPr>
          <w:rFonts w:ascii="Helvetica Light" w:hAnsi="Helvetica Light" w:cs="Helvetica Light"/>
          <w:sz w:val="24"/>
          <w:sz-cs w:val="24"/>
        </w:rPr>
        <w:t xml:space="preserve">Value-added Services and 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CountryGermany | </w:t>
      </w:r>
    </w:p>
    <w:p>
      <w:pPr/>
      <w:r>
        <w:rPr>
          <w:rFonts w:ascii="Helvetica Light" w:hAnsi="Helvetica Light" w:cs="Helvetica Light"/>
          <w:sz w:val="24"/>
          <w:sz-cs w:val="24"/>
        </w:rPr>
        <w:t xml:space="preserve">United Kingdom | </w:t>
      </w:r>
    </w:p>
    <w:p>
      <w:pPr/>
      <w:r>
        <w:rPr>
          <w:rFonts w:ascii="Helvetica Light" w:hAnsi="Helvetica Light" w:cs="Helvetica Light"/>
          <w:sz w:val="24"/>
          <w:sz-cs w:val="24"/>
        </w:rPr>
        <w:t xml:space="preserve">France | </w:t>
      </w:r>
    </w:p>
    <w:p>
      <w:pPr/>
      <w:r>
        <w:rPr>
          <w:rFonts w:ascii="Helvetica Light" w:hAnsi="Helvetica Light" w:cs="Helvetica Light"/>
          <w:sz w:val="24"/>
          <w:sz-cs w:val="24"/>
        </w:rPr>
        <w:t xml:space="preserve">Italy | </w:t>
      </w:r>
    </w:p>
    <w:p>
      <w:pPr/>
      <w:r>
        <w:rPr>
          <w:rFonts w:ascii="Helvetica Light" w:hAnsi="Helvetica Light" w:cs="Helvetica Light"/>
          <w:sz w:val="24"/>
          <w:sz-cs w:val="24"/>
        </w:rPr>
        <w:t xml:space="preserve">Spain | </w:t>
      </w:r>
    </w:p>
    <w:p>
      <w:pPr/>
      <w:r>
        <w:rPr>
          <w:rFonts w:ascii="Helvetica Light" w:hAnsi="Helvetica Light" w:cs="Helvetica Light"/>
          <w:sz w:val="24"/>
          <w:sz-cs w:val="24"/>
        </w:rPr>
        <w:t xml:space="preserve">Netherlands | </w:t>
      </w:r>
    </w:p>
    <w:p>
      <w:pPr/>
      <w:r>
        <w:rPr>
          <w:rFonts w:ascii="Helvetica Light" w:hAnsi="Helvetica Light" w:cs="Helvetica Light"/>
          <w:sz w:val="24"/>
          <w:sz-cs w:val="24"/>
        </w:rPr>
        <w:t xml:space="preserve">Belgium | </w:t>
      </w:r>
    </w:p>
    <w:p>
      <w:pPr/>
      <w:r>
        <w:rPr>
          <w:rFonts w:ascii="Helvetica Light" w:hAnsi="Helvetica Light" w:cs="Helvetica Light"/>
          <w:sz w:val="24"/>
          <w:sz-cs w:val="24"/>
        </w:rPr>
        <w:t xml:space="preserve">Poland | </w:t>
      </w:r>
    </w:p>
    <w:p>
      <w:pPr/>
      <w:r>
        <w:rPr>
          <w:rFonts w:ascii="Helvetica Light" w:hAnsi="Helvetica Light" w:cs="Helvetica Light"/>
          <w:sz w:val="24"/>
          <w:sz-cs w:val="24"/>
        </w:rPr>
        <w:t xml:space="preserve">Sweden | </w:t>
      </w:r>
    </w:p>
    <w:p>
      <w:pPr/>
      <w:r>
        <w:rPr>
          <w:rFonts w:ascii="Helvetica Light" w:hAnsi="Helvetica Light" w:cs="Helvetica Light"/>
          <w:sz w:val="24"/>
          <w:sz-cs w:val="24"/>
        </w:rPr>
        <w:t xml:space="preserve">Rest of Europe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growth rate is forecast for the Europe pharmaceutical cold chain logistics market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projected to expand at a 4.59%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category is expected to grow fastest?</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Value-added services, covering serialization and real-time monitoring, are forecast to register a 5.27%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the Netherlands the fastest-growing country market?</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Post-Brexit relabelling demand and new A+++ cold-chain campuses are driving a 5.70% CAGR outlook for the Netherlands.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will EU F-gas rules affect logistics providers?</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Operators must replace HFC systems with natural refrigerants, lifting capital expenditure and favoring well-capitalized firms.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temperature band is expanding quickest?</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Deep-frozen and ultra-low logistics for cell and gene therapies are set to rise at a 5.61%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end-user group will contribute most to incremental demand?</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Biotech and biosimilar manufacturers, growing at a 6.27% CAGR, will drive new contract wins for specialized providers.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