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Virtual Cards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Payments, Remittance &amp; Cards (Financial Services &amp; Investment Intelligence)  </w:t>
      </w:r>
    </w:p>
    <w:p>
      <w:pPr/>
      <w:r>
        <w:rPr>
          <w:rFonts w:ascii="Helvetica Light" w:hAnsi="Helvetica Light" w:cs="Helvetica Light"/>
          <w:sz w:val="24"/>
          <w:sz-cs w:val="24"/>
        </w:rPr>
        <w:t xml:space="preserve">&gt; **Source:** [https://www.mordorintelligence.com/industry-reports/europe-virtual-cards-market](https://www.mordorintelligence.com/industry-reports/europe-virtual-cards-market)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1.34 trillion |</w:t>
      </w:r>
    </w:p>
    <w:p>
      <w:pPr/>
      <w:r>
        <w:rPr>
          <w:rFonts w:ascii="Helvetica Light" w:hAnsi="Helvetica Light" w:cs="Helvetica Light"/>
          <w:sz w:val="24"/>
          <w:sz-cs w:val="24"/>
        </w:rPr>
        <w:t xml:space="preserve">| **Projected Forecast (2031)** | USD 1.34 trillion |</w:t>
      </w:r>
    </w:p>
    <w:p>
      <w:pPr/>
      <w:r>
        <w:rPr>
          <w:rFonts w:ascii="Helvetica Light" w:hAnsi="Helvetica Light" w:cs="Helvetica Light"/>
          <w:sz w:val="24"/>
          <w:sz-cs w:val="24"/>
        </w:rPr>
        <w:t xml:space="preserve">| **Growth Rate (CAGR)** | 18.56 %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Broader European Markets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Virtual Cards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Virtual Cards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Virtual Cards Market: Market Share by Use](images/chart_4.png)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Virtual Cards Market: Market Share by End User](images/chart_5.png)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Virtual Cards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Historical Data Period | 2020 - 2024 | </w:t>
      </w:r>
    </w:p>
    <w:p>
      <w:pPr/>
      <w:r>
        <w:rPr>
          <w:rFonts w:ascii="Helvetica Light" w:hAnsi="Helvetica Light" w:cs="Helvetica Light"/>
          <w:sz w:val="24"/>
          <w:sz-cs w:val="24"/>
        </w:rPr>
        <w:t xml:space="preserve">Market Size (2026) | USD 1.34 Trillion | </w:t>
      </w:r>
    </w:p>
    <w:p>
      <w:pPr/>
      <w:r>
        <w:rPr>
          <w:rFonts w:ascii="Helvetica Light" w:hAnsi="Helvetica Light" w:cs="Helvetica Light"/>
          <w:sz w:val="24"/>
          <w:sz-cs w:val="24"/>
        </w:rPr>
        <w:t xml:space="preserve">Market Size (2031) | USD 3.14 Trillion | </w:t>
      </w:r>
    </w:p>
    <w:p>
      <w:pPr/>
      <w:r>
        <w:rPr>
          <w:rFonts w:ascii="Helvetica Light" w:hAnsi="Helvetica Light" w:cs="Helvetica Light"/>
          <w:sz w:val="24"/>
          <w:sz-cs w:val="24"/>
        </w:rPr>
        <w:t xml:space="preserve">Growth Rate (2026 - 2031) | 18.56 %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Virtual Cards Market Analysis by Mordor IntelligenceThe European virtual cards market reached a value of USD 1.34 trillion in 2026 and is on course to hit USD 3.14 trillion by 2031, reflecting an impressive 18.56% CAGR through the forecast horizon. The market is experiencing rapid growth, driven primarily by business adoption as companies seek automated reconciliation, streamlined supplier payments, and enhanced spend control. Enterprises are increasingly favoring single-use virtual cards, which simplify procurement and travel payments while reducing fraud exposure. Remote payments dominate the market, though virtual credentials at the point of sale are gaining momentum as contactless payments become more ubiquitous. Regulatory support, including stronger authentication and open-banking frameworks, is boosting market confidence and encouraging digital payment adoption. Virtual credit cards remain the preferred option due to embedded credit features and rewards, while virtual prepaid cards are emerging as fintechs and travel platforms provide flexible, license-light alternatives. The competitive landscape is evolving, with traditional card networks, specialist issuers, and challenger banks driving innovation in tokenization, fraud prevention, and embedded finance. Instant payments, European digital identity frameworks, and cross-border regulatory alignment are accelerating the shift from physical cards to tokenized, API-driven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use, single-use credentials led with 56.45% share of the Europe virtual cards market size in 2025 and are projected to expand at a 21.22% CAGR to 2031. </w:t>
      </w:r>
    </w:p>
    <w:p>
      <w:pPr/>
      <w:r>
        <w:rPr>
          <w:rFonts w:ascii="Helvetica Light" w:hAnsi="Helvetica Light" w:cs="Helvetica Light"/>
          <w:sz w:val="24"/>
          <w:sz-cs w:val="24"/>
        </w:rPr>
        <w:t xml:space="preserve">* By payment type, remote payments commanded 78.32% share of the Europe virtual cards market size in 2025, while POS virtual credentials are scaling faster at a 28.34% projected growth trajectory. </w:t>
      </w:r>
    </w:p>
    <w:p>
      <w:pPr/>
      <w:r>
        <w:rPr>
          <w:rFonts w:ascii="Helvetica Light" w:hAnsi="Helvetica Light" w:cs="Helvetica Light"/>
          <w:sz w:val="24"/>
          <w:sz-cs w:val="24"/>
        </w:rPr>
        <w:t xml:space="preserve">* By end user, business users held 70.16% of the Europe virtual cards market share in 2025, and the segment is forecast to expand at 22.76% through 2031. </w:t>
      </w:r>
    </w:p>
    <w:p>
      <w:pPr/>
      <w:r>
        <w:rPr>
          <w:rFonts w:ascii="Helvetica Light" w:hAnsi="Helvetica Light" w:cs="Helvetica Light"/>
          <w:sz w:val="24"/>
          <w:sz-cs w:val="24"/>
        </w:rPr>
        <w:t xml:space="preserve">* By card type, virtual credit cards claimed 47.02% of the Europe virtual cards market share in 2025, whereas virtual prepaid cards are growing at 22.05% through 2031. </w:t>
      </w:r>
    </w:p>
    <w:p>
      <w:pPr/>
      <w:r>
        <w:rPr>
          <w:rFonts w:ascii="Helvetica Light" w:hAnsi="Helvetica Light" w:cs="Helvetica Light"/>
          <w:sz w:val="24"/>
          <w:sz-cs w:val="24"/>
        </w:rPr>
        <w:t xml:space="preserve">* By geography, the United Kingdom accounted for 21.88% of the Europe virtual cards market share in 2025, and Spain is projected to record the steepest national CAGR at 20.72%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Europe Virtual Cards Market*Driver | (~) % Impact on CAGR Forecast | Geographic Relevance | Impact Timeline | </w:t>
      </w:r>
    </w:p>
    <w:p>
      <w:pPr/>
      <w:r>
        <w:rPr>
          <w:rFonts w:ascii="Helvetica Light" w:hAnsi="Helvetica Light" w:cs="Helvetica Light"/>
          <w:sz w:val="24"/>
          <w:sz-cs w:val="24"/>
        </w:rPr>
        <w:t xml:space="preserve">Surging B2B demand for automated accounts payable settlement | +5.2% | Global, with early adoption in the United Kingdom, Germany, Nordics | Medium term (2-4 years) | </w:t>
      </w:r>
    </w:p>
    <w:p>
      <w:pPr/>
      <w:r>
        <w:rPr>
          <w:rFonts w:ascii="Helvetica Light" w:hAnsi="Helvetica Light" w:cs="Helvetica Light"/>
          <w:sz w:val="24"/>
          <w:sz-cs w:val="24"/>
        </w:rPr>
        <w:t xml:space="preserve">E-commerce &amp; contactless boom post-COVID-19 | +4.8% | Global, led by Spain, France, Germany | Short term (≤ 2 years) | </w:t>
      </w:r>
    </w:p>
    <w:p>
      <w:pPr/>
      <w:r>
        <w:rPr>
          <w:rFonts w:ascii="Helvetica Light" w:hAnsi="Helvetica Light" w:cs="Helvetica Light"/>
          <w:sz w:val="24"/>
          <w:sz-cs w:val="24"/>
        </w:rPr>
        <w:t xml:space="preserve">PSD2/SCA compliance elevates security preference for tokenised cards | +3.9% | EEA-wide, stricter enforcement in France and the Netherlands | Long term (≥ 4 years) | </w:t>
      </w:r>
    </w:p>
    <w:p>
      <w:pPr/>
      <w:r>
        <w:rPr>
          <w:rFonts w:ascii="Helvetica Light" w:hAnsi="Helvetica Light" w:cs="Helvetica Light"/>
          <w:sz w:val="24"/>
          <w:sz-cs w:val="24"/>
        </w:rPr>
        <w:t xml:space="preserve">Embedded-finance APIs slash SME onboarding frictions | +3.2% | United Kingdom, Germany, Benelux, with spill-over to CEE | Medium term (2-4 years) | </w:t>
      </w:r>
    </w:p>
    <w:p>
      <w:pPr/>
      <w:r>
        <w:rPr>
          <w:rFonts w:ascii="Helvetica Light" w:hAnsi="Helvetica Light" w:cs="Helvetica Light"/>
          <w:sz w:val="24"/>
          <w:sz-cs w:val="24"/>
        </w:rPr>
        <w:t xml:space="preserve">Digitisation of meal voucher benefits across continental Europe | +1.8% | France, Belgium, Germany, Italy | Short term (≤ 2 years) | </w:t>
      </w:r>
    </w:p>
    <w:p>
      <w:pPr/>
      <w:r>
        <w:rPr>
          <w:rFonts w:ascii="Helvetica Light" w:hAnsi="Helvetica Light" w:cs="Helvetica Light"/>
          <w:sz w:val="24"/>
          <w:sz-cs w:val="24"/>
        </w:rPr>
        <w:t xml:space="preserve">Travel intermediaries' pivot to single-use VCNs for supplier credit | +2.1% | Spain, the United Kingdom, the DACH region, with adoption in the Nordics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 virtual cards market remains moderately fragmented, with global networks like Mastercard and Visa providing token provisioning and scheme infrastructure, while issuers range from specialized B2B providers to embedded-finance platforms and challenger banks that own customer relationships. Mastercard reports that a significant portion of its European e-commerce transactions now use network tokens, moving away from static card numbers to dynamic credentials that improve authorization rates and reduce fraud exposure. Visa has partnered with BBVA, Klarna, and Vipps MobilePay to enable wallets capable of toggling between funding sources using flexible credential technology, demonstrating network-level support for multi-modal credentials. Stripe Issuing has expanded into charge cards for SMEs, reflecting an API-first approach where nonbank platforms integrate card issuance directly into their products. Marqeta’s acquisition of TransactPay strengthens its pan-European capabilities, supporting Klarna’s multi-country programs and accelerating consumer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Challenger banks and fintechs continue to scale, with Revolut serving millions of customers and generating substantial revenue from card payments, while expanding wallet and peer-to-peer integrations alongside virtual cards. Qonto serves SMEs across multiple markets and connects virtual cards to invoice-based financing, enhancing working-capital management. Soldo packages virtual cards with data-rich services such as OCR-based VAT splitting and Concur certification, illustrating that platforms are building broader spend and workflow solutions. SEB Group’s acquisition of AirPlus reinforces the strategic value of B2B travel and expense programs, bringing significant corporate card volumes under management. Collectively, these developments show a competitive landscape where networks, banks, processors, and fintechs pursue complementary roles across the Europe virtual cards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processors and acquirers are also diversifying, with Worldline enabling e-commerce acceptance through instant-payment rails that complement card use in Germany. Resilience remains critical, as shown by Adyen’s disclosure of a major DDoS attack, emphasizing the need for robust threat mitigation in supporting token vaults and virtual credentials. Apple’s opening of NFC access in Europe allows domestic wallets to expand contactless functionality, prompting issuers and networks to increase tokenization for in-store transactions across multiple schemes. Platforms that integrate issuing, acquiring, and reconciliation with embedded analytics and policy engines are gaining a leadership advantage in the market. Over time, differentiation is shifting from physical card issuance to orchestration, data insights, and controls, reinforcing the influence of API-first issuers and multi-rail acquirers.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Virtual Cards Industry Leaders* Mastercard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Marqeta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Stripe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WEX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Europe virtual cards market is defined as the value of transactions made using card-rail virtual payment credentials that are issued digitally and used in online or contactless purchases by consumers and businesses across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physical payment cards, closed-loop gift cards, and account-to-account payment schemes that do not run on card rails.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Use* Single-Use</w:t>
      </w:r>
    </w:p>
    <w:p>
      <w:pPr/>
      <w:r>
        <w:rPr>
          <w:rFonts w:ascii="Helvetica Light" w:hAnsi="Helvetica Light" w:cs="Helvetica Light"/>
          <w:sz w:val="24"/>
          <w:sz-cs w:val="24"/>
        </w:rPr>
        <w:t xml:space="preserve">* Multi-Use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Payment Type* Remote Payments</w:t>
      </w:r>
    </w:p>
    <w:p>
      <w:pPr/>
      <w:r>
        <w:rPr>
          <w:rFonts w:ascii="Helvetica Light" w:hAnsi="Helvetica Light" w:cs="Helvetica Light"/>
          <w:sz w:val="24"/>
          <w:sz-cs w:val="24"/>
        </w:rPr>
        <w:t xml:space="preserve">* POS Payments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Consumer</w:t>
      </w:r>
    </w:p>
    <w:p>
      <w:pPr/>
      <w:r>
        <w:rPr>
          <w:rFonts w:ascii="Helvetica Light" w:hAnsi="Helvetica Light" w:cs="Helvetica Light"/>
          <w:sz w:val="24"/>
          <w:sz-cs w:val="24"/>
        </w:rPr>
        <w:t xml:space="preserve">* Business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Card Type* Virtual Debit Card</w:t>
      </w:r>
    </w:p>
    <w:p>
      <w:pPr/>
      <w:r>
        <w:rPr>
          <w:rFonts w:ascii="Helvetica Light" w:hAnsi="Helvetica Light" w:cs="Helvetica Light"/>
          <w:sz w:val="24"/>
          <w:sz-cs w:val="24"/>
        </w:rPr>
        <w:t xml:space="preserve">* Virtual Credit Card</w:t>
      </w:r>
    </w:p>
    <w:p>
      <w:pPr/>
      <w:r>
        <w:rPr>
          <w:rFonts w:ascii="Helvetica Light" w:hAnsi="Helvetica Light" w:cs="Helvetica Light"/>
          <w:sz w:val="24"/>
          <w:sz-cs w:val="24"/>
        </w:rPr>
        <w:t xml:space="preserve">* Virtual Prepaid Card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Country*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(Sweden, Norway, Denmark, Finland, and Iceland)</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Europe virtual cards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 virtual cards market size reached USD 1.34 trillion in 2026 and is expected to grow at an 18.56% CAGR to reach USD 3.14 trillion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use category is growing fastest within Europe's virtual card ecosystem?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Single-use virtual cards lead and are projected to grow at 21.22% through 2031, driven by procurement and travel flows that need exact-amount controls and automated reconciliation.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regulations like PSD2, PSD3, and PSR affect virtual card adoption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SCA under PSD2 reduces fraud and supports tokenized flows, while PSD3 and the PSR strengthen fraud prevention and open-banking access, reinforcing the shift toward network tokens and device-based authentication.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countries are most influential in the Europe virtual cards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United Kingdom holds the largest share at 21.88%, and Spain is the fastest grower at a 20.72% forecast CAGR, with Germany expanding strongly on contactless and wallet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 APIs and embedded finance play in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Embedded-finance APIs from issuers such as Stripe, Marqeta, and Finmid let software vendors integrate virtual card issuance, controls, and reconciliation, which compresses SME onboarding timelines and broadens reach.</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