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Prefabricated Buildings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[https://www.mordorintelligence.com/industry-reports/european-prefabricated-buildings-industry-study](https://www.mordorintelligence.com/industry-reports/european-prefabricated-buildings-industry-study)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84.10 billion |</w:t>
      </w:r>
    </w:p>
    <w:p>
      <w:pPr/>
      <w:r>
        <w:rPr>
          <w:rFonts w:ascii="Helvetica Light" w:hAnsi="Helvetica Light" w:cs="Helvetica Light"/>
          <w:sz w:val="24"/>
          <w:sz-cs w:val="24"/>
        </w:rPr>
        <w:t xml:space="preserve">| **Projected Forecast (2031)** | USD 84.10 billion |</w:t>
      </w:r>
    </w:p>
    <w:p>
      <w:pPr/>
      <w:r>
        <w:rPr>
          <w:rFonts w:ascii="Helvetica Light" w:hAnsi="Helvetica Light" w:cs="Helvetica Light"/>
          <w:sz w:val="24"/>
          <w:sz-cs w:val="24"/>
        </w:rPr>
        <w:t xml:space="preserve">| **Growth Rate (CAGR)** | 7.14 %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Prefabricated Buildings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Market Share by Product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78.5 Billion | </w:t>
      </w:r>
    </w:p>
    <w:p>
      <w:pPr/>
      <w:r>
        <w:rPr>
          <w:rFonts w:ascii="Helvetica Light" w:hAnsi="Helvetica Light" w:cs="Helvetica Light"/>
          <w:sz w:val="24"/>
          <w:sz-cs w:val="24"/>
        </w:rPr>
        <w:t xml:space="preserve">Market Size (2026) | USD 84.10 Billion | </w:t>
      </w:r>
    </w:p>
    <w:p>
      <w:pPr/>
      <w:r>
        <w:rPr>
          <w:rFonts w:ascii="Helvetica Light" w:hAnsi="Helvetica Light" w:cs="Helvetica Light"/>
          <w:sz w:val="24"/>
          <w:sz-cs w:val="24"/>
        </w:rPr>
        <w:t xml:space="preserve">Market Size (2031) | USD 118.80 Billion | </w:t>
      </w:r>
    </w:p>
    <w:p>
      <w:pPr/>
      <w:r>
        <w:rPr>
          <w:rFonts w:ascii="Helvetica Light" w:hAnsi="Helvetica Light" w:cs="Helvetica Light"/>
          <w:sz w:val="24"/>
          <w:sz-cs w:val="24"/>
        </w:rPr>
        <w:t xml:space="preserve">Growth Rate (2026 - 2031) | 7.14 %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Market Analysis by Mordor IntelligenceThe Europe prefabricated buildings market size is projected to be USD 78.5 Billion in 2025, USD 84.10 billion in 2026, and reach USD 118.8 billion by 2031, growing at a CAGR of 7.14% from 2026 to 2031[1]European Commission, “Communication on Affordable and Sustainable Housing,” ec.europa.eu. Demand is accelerating as the EU Green Deal renovation-wave mandates push owners to upgrade 35 million structures this decade, while the Carbon Border Adjustment Mechanism (CBAM) raises the delivered cost of non-EU steel and cement, reinforcing local supply chains. A chronic regional labor deficit, 2.3 million open positions in 2025, makes factory assembly attractive because automation compensates for scarce tradespeople. Digital product passports embedded in modules simplify compliance with new lifecycle, carbon reporting rules, and procurement policy across Germany, the Netherlands, and the Nordics increasingly reward timber and hybrid systems that cut embodied emissions by up to 60%.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metal led with 52% of the Europe prefabricated buildings market share in 2025, while timber is forecast to register a 9.4% CAGR through 2031. </w:t>
      </w:r>
    </w:p>
    <w:p>
      <w:pPr/>
      <w:r>
        <w:rPr>
          <w:rFonts w:ascii="Helvetica Light" w:hAnsi="Helvetica Light" w:cs="Helvetica Light"/>
          <w:sz w:val="24"/>
          <w:sz-cs w:val="24"/>
        </w:rPr>
        <w:t xml:space="preserve">* By application, residential captured 58% of the Europe prefabricated buildings market size in 2025; the “others” segment is projected to expand at an 8.7% CAGR between 2026-2031. </w:t>
      </w:r>
    </w:p>
    <w:p>
      <w:pPr/>
      <w:r>
        <w:rPr>
          <w:rFonts w:ascii="Helvetica Light" w:hAnsi="Helvetica Light" w:cs="Helvetica Light"/>
          <w:sz w:val="24"/>
          <w:sz-cs w:val="24"/>
        </w:rPr>
        <w:t xml:space="preserve">* By product type, modular buildings accounted for 44.3% revenue in 2025, whereas panelised systems are advancing at a 9.9% CAGR to 2031.</w:t>
      </w:r>
    </w:p>
    <w:p>
      <w:pPr/>
      <w:r>
        <w:rPr>
          <w:rFonts w:ascii="Helvetica Light" w:hAnsi="Helvetica Light" w:cs="Helvetica Light"/>
          <w:sz w:val="24"/>
          <w:sz-cs w:val="24"/>
        </w:rPr>
        <w:t xml:space="preserve">* By geography, Germany commanded 35% of regional revenue in 2025, while the Netherlands is expected to register the fastest pace at a 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Europe Prefabricated Buildings Market*Driver | (~) % Impact on CAGR Forecast | Geographic Relevance | Impact Timeline | </w:t>
      </w:r>
    </w:p>
    <w:p>
      <w:pPr/>
      <w:r>
        <w:rPr>
          <w:rFonts w:ascii="Helvetica Light" w:hAnsi="Helvetica Light" w:cs="Helvetica Light"/>
          <w:sz w:val="24"/>
          <w:sz-cs w:val="24"/>
        </w:rPr>
        <w:t xml:space="preserve">Affordable-housing gap spurring volumetric residential modules | +2.1% | EU-27, focus on Germany, Spain, Netherlands | Long term (≥ 4 years) | </w:t>
      </w:r>
    </w:p>
    <w:p>
      <w:pPr/>
      <w:r>
        <w:rPr>
          <w:rFonts w:ascii="Helvetica Light" w:hAnsi="Helvetica Light" w:cs="Helvetica Light"/>
          <w:sz w:val="24"/>
          <w:sz-cs w:val="24"/>
        </w:rPr>
        <w:t xml:space="preserve">EU Green Deal renovation-wave mandates favoring off-site upgrades | +1.8% | EU-27, strongest in Germany, France, Netherlands | Medium term (2–4 years) | </w:t>
      </w:r>
    </w:p>
    <w:p>
      <w:pPr/>
      <w:r>
        <w:rPr>
          <w:rFonts w:ascii="Helvetica Light" w:hAnsi="Helvetica Light" w:cs="Helvetica Light"/>
          <w:sz w:val="24"/>
          <w:sz-cs w:val="24"/>
        </w:rPr>
        <w:t xml:space="preserve">Persistent skilled-labor shortages across Western Europe | +1.5% | Germany, UK, France, Benelux | Long term (≥ 4 years) | </w:t>
      </w:r>
    </w:p>
    <w:p>
      <w:pPr/>
      <w:r>
        <w:rPr>
          <w:rFonts w:ascii="Helvetica Light" w:hAnsi="Helvetica Light" w:cs="Helvetica Light"/>
          <w:sz w:val="24"/>
          <w:sz-cs w:val="24"/>
        </w:rPr>
        <w:t xml:space="preserve">Corporate net-zero commitments boosting low-carbon prefab demand | +1.2% | Western Europe, spreading to Southern Europe | Medium term (2–4 years) | </w:t>
      </w:r>
    </w:p>
    <w:p>
      <w:pPr/>
      <w:r>
        <w:rPr>
          <w:rFonts w:ascii="Helvetica Light" w:hAnsi="Helvetica Light" w:cs="Helvetica Light"/>
          <w:sz w:val="24"/>
          <w:sz-cs w:val="24"/>
        </w:rPr>
        <w:t xml:space="preserve">CBAM cost-shield incentivising EU-made modular steel frames | +0.9% | EU-27, particularly Germany, France, Italy | Short term (≤ 2 years) | </w:t>
      </w:r>
    </w:p>
    <w:p>
      <w:pPr/>
      <w:r>
        <w:rPr>
          <w:rFonts w:ascii="Helvetica Light" w:hAnsi="Helvetica Light" w:cs="Helvetica Light"/>
          <w:sz w:val="24"/>
          <w:sz-cs w:val="24"/>
        </w:rPr>
        <w:t xml:space="preserve">On-site robotic / 3D-print hybridisation enabling just-in-time modules | +0.7% | Netherlands, Germany, Nordics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Modulaire Group dominates rental and semi-permanent niches, expanding its UK Carnaby facility to 60,000 m² and winning USD 101 million in government work. Goldbeck’s 2026 entry into UK residential via the Oak House partnership with Prime plc shows German giants exporting know-how. Skanska pilots “flying factories” that cut costs 28% by situating pop-up workshops near sites, signaling a shift toward distributed manufacturing.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Disruptors exploit digital tooling. Leko Labs’ parametric engine converts customer sketches into fabrication files within hours, shrinking design lead times. KLEUSBERG’s five KUKA robots weld 2,000 m of frames weekly, paring headcount and cycle time. Timber specialists Baufritz and CREE target premium segments where buyers prize embodied-carbon disclosure and architectural flair over lowest cost.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is rising as CBAM erodes cheap import advantages. Players differentiate on carbon transparency, automation depth, and lifecycle services such as module take-back or refurbishment. The European Technical Assessment pathway offers market access for novel systems, yet a 12-18 month queue forces innovators to plan product launches early. Consolidation pressure is likely as mid-sized firms seek scale to fund certification, R&amp;D, and cybersecurity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Industry Leaders*  Skanska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Modulaire Group (Algeco Scotsman)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Lindbäcks Bygg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Portakabin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Huf Haus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Prefabricated Buildings Market Report ScopeBy Material TypeConcrete | </w:t>
      </w:r>
    </w:p>
    <w:p>
      <w:pPr/>
      <w:r>
        <w:rPr>
          <w:rFonts w:ascii="Helvetica Light" w:hAnsi="Helvetica Light" w:cs="Helvetica Light"/>
          <w:sz w:val="24"/>
          <w:sz-cs w:val="24"/>
        </w:rPr>
        <w:t xml:space="preserve">Glass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Timber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CountryGermany | </w:t>
      </w:r>
    </w:p>
    <w:p>
      <w:pPr/>
      <w:r>
        <w:rPr>
          <w:rFonts w:ascii="Helvetica Light" w:hAnsi="Helvetica Light" w:cs="Helvetica Light"/>
          <w:sz w:val="24"/>
          <w:sz-cs w:val="24"/>
        </w:rPr>
        <w:t xml:space="preserve">United Kingdom | </w:t>
      </w:r>
    </w:p>
    <w:p>
      <w:pPr/>
      <w:r>
        <w:rPr>
          <w:rFonts w:ascii="Helvetica Light" w:hAnsi="Helvetica Light" w:cs="Helvetica Light"/>
          <w:sz w:val="24"/>
          <w:sz-cs w:val="24"/>
        </w:rPr>
        <w:t xml:space="preserve">France | </w:t>
      </w:r>
    </w:p>
    <w:p>
      <w:pPr/>
      <w:r>
        <w:rPr>
          <w:rFonts w:ascii="Helvetica Light" w:hAnsi="Helvetica Light" w:cs="Helvetica Light"/>
          <w:sz w:val="24"/>
          <w:sz-cs w:val="24"/>
        </w:rPr>
        <w:t xml:space="preserve">Spain | </w:t>
      </w:r>
    </w:p>
    <w:p>
      <w:pPr/>
      <w:r>
        <w:rPr>
          <w:rFonts w:ascii="Helvetica Light" w:hAnsi="Helvetica Light" w:cs="Helvetica Light"/>
          <w:sz w:val="24"/>
          <w:sz-cs w:val="24"/>
        </w:rPr>
        <w:t xml:space="preserve">Italy | </w:t>
      </w:r>
    </w:p>
    <w:p>
      <w:pPr/>
      <w:r>
        <w:rPr>
          <w:rFonts w:ascii="Helvetica Light" w:hAnsi="Helvetica Light" w:cs="Helvetica Light"/>
          <w:sz w:val="24"/>
          <w:sz-cs w:val="24"/>
        </w:rPr>
        <w:t xml:space="preserve">Netherlands | </w:t>
      </w:r>
    </w:p>
    <w:p>
      <w:pPr/>
      <w:r>
        <w:rPr>
          <w:rFonts w:ascii="Helvetica Light" w:hAnsi="Helvetica Light" w:cs="Helvetica Light"/>
          <w:sz w:val="24"/>
          <w:sz-cs w:val="24"/>
        </w:rPr>
        <w:t xml:space="preserve">Sweden | </w:t>
      </w:r>
    </w:p>
    <w:p>
      <w:pPr/>
      <w:r>
        <w:rPr>
          <w:rFonts w:ascii="Helvetica Light" w:hAnsi="Helvetica Light" w:cs="Helvetica Light"/>
          <w:sz w:val="24"/>
          <w:sz-cs w:val="24"/>
        </w:rPr>
        <w:t xml:space="preserve">Denmark | </w:t>
      </w:r>
    </w:p>
    <w:p>
      <w:pPr/>
      <w:r>
        <w:rPr>
          <w:rFonts w:ascii="Helvetica Light" w:hAnsi="Helvetica Light" w:cs="Helvetica Light"/>
          <w:sz w:val="24"/>
          <w:sz-cs w:val="24"/>
        </w:rPr>
        <w:t xml:space="preserve">Norway | </w:t>
      </w:r>
    </w:p>
    <w:p>
      <w:pPr/>
      <w:r>
        <w:rPr>
          <w:rFonts w:ascii="Helvetica Light" w:hAnsi="Helvetica Light" w:cs="Helvetica Light"/>
          <w:sz w:val="24"/>
          <w:sz-cs w:val="24"/>
        </w:rPr>
        <w:t xml:space="preserve">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value of the Europe prefabricated buildings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reach USD 118.8 billion by 2031, reflecting a 7.14%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Europe’s prefabricated buildings sector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prefabricated buildings market size is projected to reach USD 118.8 billion by 2031, expanding at a 7.14%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leads the adoption curve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Metal modules dominate with 52% share in 2025, though engineered timber is the fastest-growing material at 9.4%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governments turning to modular 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Factory-built apartments cut build times up to 50% and reduce labor needs 40%, helping close the EU's 5.8 million-unit housing deficit.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CBAM influence supply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carbon levy lifts import costs for steel frames by roughly 15-20%, steering procurement toward EU-made modular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shows the quickest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Netherlands leads with a forecast 9.2% CAGR through 2031, driven by a national pact targeting 100,000 industrialized homes annually.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