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Flight Management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[https://www.mordorintelligence.com/industry-reports/flight-management-systems-market](https://www.mordorintelligence.com/industry-reports/flight-management-systems-market)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4.70 billion |</w:t>
      </w:r>
    </w:p>
    <w:p>
      <w:pPr/>
      <w:r>
        <w:rPr>
          <w:rFonts w:ascii="Helvetica Light" w:hAnsi="Helvetica Light" w:cs="Helvetica Light"/>
          <w:sz w:val="24"/>
          <w:sz-cs w:val="24"/>
        </w:rPr>
        <w:t xml:space="preserve">| **Projected Forecast (2031)** | USD 4.70 billion |</w:t>
      </w:r>
    </w:p>
    <w:p>
      <w:pPr/>
      <w:r>
        <w:rPr>
          <w:rFonts w:ascii="Helvetica Light" w:hAnsi="Helvetica Light" w:cs="Helvetica Light"/>
          <w:sz w:val="24"/>
          <w:sz-cs w:val="24"/>
        </w:rPr>
        <w:t xml:space="preserve">| **Growth Rate (CAGR)** | 5.93 %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Flight Management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Share by Component,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Share by Fit,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4.70 Billion | </w:t>
      </w:r>
    </w:p>
    <w:p>
      <w:pPr/>
      <w:r>
        <w:rPr>
          <w:rFonts w:ascii="Helvetica Light" w:hAnsi="Helvetica Light" w:cs="Helvetica Light"/>
          <w:sz w:val="24"/>
          <w:sz-cs w:val="24"/>
        </w:rPr>
        <w:t xml:space="preserve">Market Size (2031) | USD 6.27 Billion | </w:t>
      </w:r>
    </w:p>
    <w:p>
      <w:pPr/>
      <w:r>
        <w:rPr>
          <w:rFonts w:ascii="Helvetica Light" w:hAnsi="Helvetica Light" w:cs="Helvetica Light"/>
          <w:sz w:val="24"/>
          <w:sz-cs w:val="24"/>
        </w:rPr>
        <w:t xml:space="preserve">Growth Rate (2026 - 2031) | 5.93 %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Market Analysis by Mordor IntelligenceThe flight management systems market size was valued at USD 4.44 billion in 2025 and estimated to grow from USD 4.70 billion in 2026 to reach USD 6.27 billion by 2031, at a CAGR of 5.93% during the forecast period (2026-2031). Higher commercial aircraft production, airline fuel-efficiency programs, and regulatory adoption of performance-based navigation support the flight management systems market. These factors create demand for new installations and software updates on aircraft already in service. Suppliers are also developing connected and software-defined architectures that can support navigation updates, data exchange, and new cockpit functions. Competition centers on certified linefit positions, where a supplier can establish a long-term aftermarket relationship with an aircraft operator. Delivery backlogs, component constraints, and cybersecurity certification requirements can defer installations, especially for newer aircraft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 held 65.78% of the flight management systems market share in 2025, while software is projected to grow at a 7.41% CAGR through 2031.</w:t>
      </w:r>
    </w:p>
    <w:p>
      <w:pPr/>
      <w:r>
        <w:rPr>
          <w:rFonts w:ascii="Helvetica Light" w:hAnsi="Helvetica Light" w:cs="Helvetica Light"/>
          <w:sz w:val="24"/>
          <w:sz-cs w:val="24"/>
        </w:rPr>
        <w:t xml:space="preserve">* By aircraft type, commercial aviation accounted for 74.89% of 2025 revenue, while urban air mobility is projected to grow at a 10.84% CAGR through 2031.</w:t>
      </w:r>
    </w:p>
    <w:p>
      <w:pPr/>
      <w:r>
        <w:rPr>
          <w:rFonts w:ascii="Helvetica Light" w:hAnsi="Helvetica Light" w:cs="Helvetica Light"/>
          <w:sz w:val="24"/>
          <w:sz-cs w:val="24"/>
        </w:rPr>
        <w:t xml:space="preserve">* By fit, linefit installations accounted for 73.39% of 2025 revenue, while retrofit is projected to grow at a 6.91% CAGR through 2031.</w:t>
      </w:r>
    </w:p>
    <w:p>
      <w:pPr/>
      <w:r>
        <w:rPr>
          <w:rFonts w:ascii="Helvetica Light" w:hAnsi="Helvetica Light" w:cs="Helvetica Light"/>
          <w:sz w:val="24"/>
          <w:sz-cs w:val="24"/>
        </w:rPr>
        <w:t xml:space="preserve">* By installation type, dual or triple-redundant FMS configurations accounted for 58.33% of 2025 revenue and were also the fastest-growing installation type, with a 7.38% CAGR through 2031.</w:t>
      </w:r>
    </w:p>
    <w:p>
      <w:pPr/>
      <w:r>
        <w:rPr>
          <w:rFonts w:ascii="Helvetica Light" w:hAnsi="Helvetica Light" w:cs="Helvetica Light"/>
          <w:sz w:val="24"/>
          <w:sz-cs w:val="24"/>
        </w:rPr>
        <w:t xml:space="preserve">* By geography, North America held 33.16% of the flight management systems market share in 2025, while Asia-Pacific is projected to grow at an 8.82%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Flight Management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production rates of single-aisle commercial aircraft | +1.4% | Global, led by North America and Europe OEM hubs | Short term (≤ 2 years) | </w:t>
      </w:r>
    </w:p>
    <w:p>
      <w:pPr/>
      <w:r>
        <w:rPr>
          <w:rFonts w:ascii="Helvetica Light" w:hAnsi="Helvetica Light" w:cs="Helvetica Light"/>
          <w:sz w:val="24"/>
          <w:sz-cs w:val="24"/>
        </w:rPr>
        <w:t xml:space="preserve">Increasing airline focus on fuel efficiency and operating cost reduction | +1.1% | Global, concentrated in Asia-Pacific and Middle East carriers | Medium term (2–4 years) | </w:t>
      </w:r>
    </w:p>
    <w:p>
      <w:pPr/>
      <w:r>
        <w:rPr>
          <w:rFonts w:ascii="Helvetica Light" w:hAnsi="Helvetica Light" w:cs="Helvetica Light"/>
          <w:sz w:val="24"/>
          <w:sz-cs w:val="24"/>
        </w:rPr>
        <w:t xml:space="preserve">Mandatory compliance with advanced navigation performance standards | +0.9% | Global; Asia-Pacific and Middle East and Africa compliance lag driving retrofit pipeline | Medium term (2–4 years) | </w:t>
      </w:r>
    </w:p>
    <w:p>
      <w:pPr/>
      <w:r>
        <w:rPr>
          <w:rFonts w:ascii="Helvetica Light" w:hAnsi="Helvetica Light" w:cs="Helvetica Light"/>
          <w:sz w:val="24"/>
          <w:sz-cs w:val="24"/>
        </w:rPr>
        <w:t xml:space="preserve">Expanding adoption of connected aircraft and real-time analytics | +0.8% | North America and Europe early adopters; Asia-Pacific spill-over | Medium term (2–4 years) | </w:t>
      </w:r>
    </w:p>
    <w:p>
      <w:pPr/>
      <w:r>
        <w:rPr>
          <w:rFonts w:ascii="Helvetica Light" w:hAnsi="Helvetica Light" w:cs="Helvetica Light"/>
          <w:sz w:val="24"/>
          <w:sz-cs w:val="24"/>
        </w:rPr>
        <w:t xml:space="preserve">Advancements in AI-enabled cockpit decision-support systems | +0.7% | North America, Europe, growing Asia-Pacific adoption | Long term (≥ 4 years) | </w:t>
      </w:r>
    </w:p>
    <w:p>
      <w:pPr/>
      <w:r>
        <w:rPr>
          <w:rFonts w:ascii="Helvetica Light" w:hAnsi="Helvetica Light" w:cs="Helvetica Light"/>
          <w:sz w:val="24"/>
          <w:sz-cs w:val="24"/>
        </w:rPr>
        <w:t xml:space="preserve">Integration of FMS with next-generation ATM platforms | +0.6% | Global; SESAR (Europe) and NextGen (US) as anchors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flight management systems market is moderately consolidated among large avionics suppliers. Honeywell International Inc., Thales Group, and RTX Corporation hold strong positions in commercial linefit programs. Their competitive advantage stems from certification expertise, established relationships with aircraft manufacturers, and the ability to support systems throughout long operating lifecycles. A linefit selection can create a long-term aftermarket relationship through repairs, maintenance, software updates, and data services. This structure makes it difficult for a new supplier to replace an installed prime system and makes competition for aircraft programs more important than a one-time equipment 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flight management systems market also offers opportunities in military modernization, retrofit systems, and UAM navigation. Curtiss-Wright’s C-17 mission-computer award shows how open-architecture procurement can create opportunities alongside traditional defense suppliers. Garmin and Universal Avionics address retrofit demand with modular certified systems for different aircraft categories. Safran’s acquisition of Collins Aerospace’s flight-control and actuation activities in July 2025 added a broader set of flight-system capabilities. The transaction can support bundled offerings across flight controls, navigation, and related systems. As no combined market share for the leading companies was provided, the available information supports a moderate, rather than highly concentrated, market description.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Flight Management Systems Industry Leaders*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Garmin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 Aerospace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Flight Management Systems Market Report ScopeA flight management system (FMS) is a core onboard computer system in modern aircraft. It automates flight planning, multi-sensor navigation, and performance optimization. The system significantly reduces crew workload by calculating precise lateral and vertical flight paths, managing fuel consumption, and synchronizing with the autopilot.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flight management systems market is segmented by component, aircraft type, fit, installation type, and geography. By component, the market is segmented into hardware and software. By aircraft type, the market is segmented into commercial aviation, military aviation, general aviation, unmanned aerial systems (UAS), and urban air mobility (UAM). By fit, the market is segmented into linefit and retrofit. By installation type, the market is segmented into single-FMS and dual/triple-redundant FMS. The report also covers the market sizes and forecasts for the flight management systems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ComponentHardware | Flight Management Computer (FMC) | </w:t>
      </w:r>
    </w:p>
    <w:p>
      <w:pPr/>
      <w:r>
        <w:rPr>
          <w:rFonts w:ascii="Helvetica Light" w:hAnsi="Helvetica Light" w:cs="Helvetica Light"/>
          <w:sz w:val="24"/>
          <w:sz-cs w:val="24"/>
        </w:rPr>
        <w:t xml:space="preserve"> | Control Display Unit (CDU) | </w:t>
      </w:r>
    </w:p>
    <w:p>
      <w:pPr/>
      <w:r>
        <w:rPr>
          <w:rFonts w:ascii="Helvetica Light" w:hAnsi="Helvetica Light" w:cs="Helvetica Light"/>
          <w:sz w:val="24"/>
          <w:sz-cs w:val="24"/>
        </w:rPr>
        <w:t xml:space="preserve"> | Visual Display Unit (VDU) | </w:t>
      </w:r>
    </w:p>
    <w:p>
      <w:pPr/>
      <w:r>
        <w:rPr>
          <w:rFonts w:ascii="Helvetica Light" w:hAnsi="Helvetica Light" w:cs="Helvetica Light"/>
          <w:sz w:val="24"/>
          <w:sz-cs w:val="24"/>
        </w:rPr>
        <w:t xml:space="preserve">Software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flight management systems?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output, fuel-efficiency needs, performance-based navigation requirements, and connected aircraft functions support demand for new systems and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component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 is the fastest-growing component, with a projected 7.41% CAGR through 2031, while hardware held 65.78%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aircraft category has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Urban air mobility (UAM) is projected to be the fastest-growing aircraft category at a 10.84%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retrofit installations increasing?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Retrofit demand is supported by aging aircraft, navigation compliance needs, service-life extension, and cockpit modernization, with a projected 6.91%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an 8.82% CAGR through 2031, supported by commercial fleet expansion in India, China, and Southeast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limits adoption of advanced flight management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delivery delays and the time needed to certify cybersecure avionics systems can defer installations and new program deployment.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