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Food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[https://www.mordorintelligence.com/industry-reports/food-packaging-market](https://www.mordorintelligence.com/industry-reports/food-packaging-market)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400.08 billion |</w:t>
      </w:r>
    </w:p>
    <w:p>
      <w:pPr/>
      <w:r>
        <w:rPr>
          <w:rFonts w:ascii="Helvetica Light" w:hAnsi="Helvetica Light" w:cs="Helvetica Light"/>
          <w:sz w:val="24"/>
          <w:sz-cs w:val="24"/>
        </w:rPr>
        <w:t xml:space="preserve">| **Projected Forecast (2031)** | USD 400.08 billion |</w:t>
      </w:r>
    </w:p>
    <w:p>
      <w:pPr/>
      <w:r>
        <w:rPr>
          <w:rFonts w:ascii="Helvetica Light" w:hAnsi="Helvetica Light" w:cs="Helvetica Light"/>
          <w:sz w:val="24"/>
          <w:sz-cs w:val="24"/>
        </w:rPr>
        <w:t xml:space="preserve">| **Growth Rate (CAGR)** | 5.18 %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Food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400.08 Billion | </w:t>
      </w:r>
    </w:p>
    <w:p>
      <w:pPr/>
      <w:r>
        <w:rPr>
          <w:rFonts w:ascii="Helvetica Light" w:hAnsi="Helvetica Light" w:cs="Helvetica Light"/>
          <w:sz w:val="24"/>
          <w:sz-cs w:val="24"/>
        </w:rPr>
        <w:t xml:space="preserve">Market Size (2031) | USD 515.06 Billion | </w:t>
      </w:r>
    </w:p>
    <w:p>
      <w:pPr/>
      <w:r>
        <w:rPr>
          <w:rFonts w:ascii="Helvetica Light" w:hAnsi="Helvetica Light" w:cs="Helvetica Light"/>
          <w:sz w:val="24"/>
          <w:sz-cs w:val="24"/>
        </w:rPr>
        <w:t xml:space="preserve">Growth Rate (2026 - 2031) | 5.18 %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Market Analysis by Mordor IntelligenceThe food packaging market size in 2026 is estimated at USD 400.08 billion, growing from 2025 value of USD 380.38 billion with 2031 projections showing USD 515.06 billion, growing at 5.18% CAGR over 2026-2031. Expansion rests on rapid urbanisation in Asia-Pacific, stronger regulatory attention to recycled content across North America and Europe, and the steady shift among global brand owners toward material-efficient flexible formats. Manufacturers also benefit from investments in cold-chain infrastructure that widen retail reach for chilled and frozen foods, while premiumisation trends revitalise glass demand and encourage adoption of high-barrier technologies able to support clean-label claims. On the supply side, direct customer relationships remain the dominant route to market; however, e-commerce logistics specialists are accelerating uptake of indirect channels that serve small and mid-size food processors. Merger activity among the leading converters is reshaping competitive boundaries by pooling R&amp;D, recycling assets and global distribution footprints.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plastics accounted for 58.55% revenue in 2025; glass is set to record the fastest 7.12% CAGR through 2031.</w:t>
      </w:r>
    </w:p>
    <w:p>
      <w:pPr/>
      <w:r>
        <w:rPr>
          <w:rFonts w:ascii="Helvetica Light" w:hAnsi="Helvetica Light" w:cs="Helvetica Light"/>
          <w:sz w:val="24"/>
          <w:sz-cs w:val="24"/>
        </w:rPr>
        <w:t xml:space="preserve">* By packaging format, flexible solutions held 56.10% share in 2025 and are expanding at a 6.18% CAGR.</w:t>
      </w:r>
    </w:p>
    <w:p>
      <w:pPr/>
      <w:r>
        <w:rPr>
          <w:rFonts w:ascii="Helvetica Light" w:hAnsi="Helvetica Light" w:cs="Helvetica Light"/>
          <w:sz w:val="24"/>
          <w:sz-cs w:val="24"/>
        </w:rPr>
        <w:t xml:space="preserve">* By product type, pouches captured 35.25% share in 2025 and will climb at an 8.32% CAGR to 2031.</w:t>
      </w:r>
    </w:p>
    <w:p>
      <w:pPr/>
      <w:r>
        <w:rPr>
          <w:rFonts w:ascii="Helvetica Light" w:hAnsi="Helvetica Light" w:cs="Helvetica Light"/>
          <w:sz w:val="24"/>
          <w:sz-cs w:val="24"/>
        </w:rPr>
        <w:t xml:space="preserve">* By technology, Modified Atmosphere Packaging led with 32.10% share in 2025, whereas aseptic systems are projected to post the highest 8.55% CAGR.</w:t>
      </w:r>
    </w:p>
    <w:p>
      <w:pPr/>
      <w:r>
        <w:rPr>
          <w:rFonts w:ascii="Helvetica Light" w:hAnsi="Helvetica Light" w:cs="Helvetica Light"/>
          <w:sz w:val="24"/>
          <w:sz-cs w:val="24"/>
        </w:rPr>
        <w:t xml:space="preserve">* By distribution channel, direct sales represented 57.95% share in 2025; indirect routes are advancing at a 6.53% CAGR as e-commerce broadens reach.</w:t>
      </w:r>
    </w:p>
    <w:p>
      <w:pPr/>
      <w:r>
        <w:rPr>
          <w:rFonts w:ascii="Helvetica Light" w:hAnsi="Helvetica Light" w:cs="Helvetica Light"/>
          <w:sz w:val="24"/>
          <w:sz-cs w:val="24"/>
        </w:rPr>
        <w:t xml:space="preserve">* By application, poultry and meat products held 28.05% share in 2025, while ready meals are predicted to log the swiftest 7.46% CAGR.</w:t>
      </w:r>
    </w:p>
    <w:p>
      <w:pPr/>
      <w:r>
        <w:rPr>
          <w:rFonts w:ascii="Helvetica Light" w:hAnsi="Helvetica Light" w:cs="Helvetica Light"/>
          <w:sz w:val="24"/>
          <w:sz-cs w:val="24"/>
        </w:rPr>
        <w:t xml:space="preserve">* By region, Asia-Pacific led with 40.85% of food packaging market share in 2025, while the same region is projected to rise at an 8.22%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Food Packaging Market*Driver | (~) % Impact on CAGR Forecast | Geographic Relevance | Impact Timeline | </w:t>
      </w:r>
    </w:p>
    <w:p>
      <w:pPr/>
      <w:r>
        <w:rPr>
          <w:rFonts w:ascii="Helvetica Light" w:hAnsi="Helvetica Light" w:cs="Helvetica Light"/>
          <w:sz w:val="24"/>
          <w:sz-cs w:val="24"/>
        </w:rPr>
        <w:t xml:space="preserve">Accelerated urban convenience retail growth across Asia | +1.2% | Asia-Pacific core, spill-over to MEA | Medium term (2-4 years) | </w:t>
      </w:r>
    </w:p>
    <w:p>
      <w:pPr/>
      <w:r>
        <w:rPr>
          <w:rFonts w:ascii="Helvetica Light" w:hAnsi="Helvetica Light" w:cs="Helvetica Light"/>
          <w:sz w:val="24"/>
          <w:sz-cs w:val="24"/>
        </w:rPr>
        <w:t xml:space="preserve">Legislative push for post-consumer recycled content in North America | +0.8% | North America &amp; EU | Short term (≤ 2 years) | </w:t>
      </w:r>
    </w:p>
    <w:p>
      <w:pPr/>
      <w:r>
        <w:rPr>
          <w:rFonts w:ascii="Helvetica Light" w:hAnsi="Helvetica Light" w:cs="Helvetica Light"/>
          <w:sz w:val="24"/>
          <w:sz-cs w:val="24"/>
        </w:rPr>
        <w:t xml:space="preserve">Expansion of direct-to-consumer meal-kit services in Europe | +0.6% | Europe, expanding to North America | Medium term (2-4 years) | </w:t>
      </w:r>
    </w:p>
    <w:p>
      <w:pPr/>
      <w:r>
        <w:rPr>
          <w:rFonts w:ascii="Helvetica Light" w:hAnsi="Helvetica Light" w:cs="Helvetica Light"/>
          <w:sz w:val="24"/>
          <w:sz-cs w:val="24"/>
        </w:rPr>
        <w:t xml:space="preserve">Rising demand for ready-to-eat seafood in Japan | +0.4% | Japan, expanding to APAC | Short term (≤ 2 years) | </w:t>
      </w:r>
    </w:p>
    <w:p>
      <w:pPr/>
      <w:r>
        <w:rPr>
          <w:rFonts w:ascii="Helvetica Light" w:hAnsi="Helvetica Light" w:cs="Helvetica Light"/>
          <w:sz w:val="24"/>
          <w:sz-cs w:val="24"/>
        </w:rPr>
        <w:t xml:space="preserve">Cold-chain build-out in Sub-Saharan Africa | +0.3% | Sub-Saharan Africa | Long term (≥ 4 years) | </w:t>
      </w:r>
    </w:p>
    <w:p>
      <w:pPr/>
      <w:r>
        <w:rPr>
          <w:rFonts w:ascii="Helvetica Light" w:hAnsi="Helvetica Light" w:cs="Helvetica Light"/>
          <w:sz w:val="24"/>
          <w:sz-cs w:val="24"/>
        </w:rPr>
        <w:t xml:space="preserve">Digital printing for short-run SKUs in Latin America | +0.2% | Latin America, global expansion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industry demonstrates fragmented following a wave of mergers and acquisitions that bolstered incumbent scale and innovation budgets. Amcor’s USD 8.4 billion purchase of Berry Global combined complementary flexibles portfolios, yielding an entity with USD 24 billion annual sales and a global footprint across 45 countries. Sonoco’s USD 3.9 billion addition of Eviosys produced a leading metal-can specialist with synergies in aerosol and seafood end-markets, while Smurfit WestRock emerged from a USD 11.2 billion paper giant tie-up that positions the firm to leverage containerboard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focus now tilts toward developing barrier-coated paper, compostable films and PCR-rich rigid containers that satisfy future regulatory curves. Patents such as Amcor’s AmFiber Performance Paper underscore the race for proprietary solutions that deliver both high oxygen resistance and curbside recyclability. Simultaneously, converters are investing in closed-loop recycling, including vertically integrated wash plants near urban centres to secure feedstock for high-purity PCR.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concentrate on niche technologies: start-ups harnessing mycelium-based foams for insulation, IoT-enabled smart labels that track cold-chain compliance, and refill-ready rigid systems for zero-waste grocery concepts. Although their market shares remain small, alliance deals with retailers and CPGs provide pathways to scale. Overall, competitive intensity centres on speed to sustainable innovation, cost leadership in PCR sourcing and the ability to deliver personalised graphics at commercial speed.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food packaging market covers packaging materials and pack forms used to contain, protect, and distribute food products across retail and foodservice channels, measured in value at selling prices that reflect typical market transactions.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Packaging used only for beverages, non-food consumer goods, and industrial bulk handling that does not relate to food is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Plastics* PET</w:t>
      </w:r>
    </w:p>
    <w:p>
      <w:pPr/>
      <w:r>
        <w:rPr>
          <w:rFonts w:ascii="Helvetica Light" w:hAnsi="Helvetica Light" w:cs="Helvetica Light"/>
          <w:sz w:val="24"/>
          <w:sz-cs w:val="24"/>
        </w:rPr>
        <w:t xml:space="preserve">* PE (HDPE and LDPE)</w:t>
      </w:r>
    </w:p>
    <w:p>
      <w:pPr/>
      <w:r>
        <w:rPr>
          <w:rFonts w:ascii="Helvetica Light" w:hAnsi="Helvetica Light" w:cs="Helvetica Light"/>
          <w:sz w:val="24"/>
          <w:sz-cs w:val="24"/>
        </w:rPr>
        <w:t xml:space="preserve">* PP</w:t>
      </w:r>
    </w:p>
    <w:p>
      <w:pPr/>
      <w:r>
        <w:rPr>
          <w:rFonts w:ascii="Helvetica Light" w:hAnsi="Helvetica Light" w:cs="Helvetica Light"/>
          <w:sz w:val="24"/>
          <w:sz-cs w:val="24"/>
        </w:rPr>
        <w:t xml:space="preserve">* Other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Paper and Paperboard</w:t>
      </w:r>
    </w:p>
    <w:p>
      <w:pPr/>
      <w:r>
        <w:rPr>
          <w:rFonts w:ascii="Helvetica Light" w:hAnsi="Helvetica Light" w:cs="Helvetica Light"/>
          <w:sz w:val="24"/>
          <w:sz-cs w:val="24"/>
        </w:rPr>
        <w:t xml:space="preserve">* Metal</w:t>
      </w:r>
    </w:p>
    <w:p>
      <w:pPr/>
      <w:r>
        <w:rPr>
          <w:rFonts w:ascii="Helvetica Light" w:hAnsi="Helvetica Light" w:cs="Helvetica Light"/>
          <w:sz w:val="24"/>
          <w:sz-cs w:val="24"/>
        </w:rPr>
        <w:t xml:space="preserve">* Glass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Rigid</w:t>
      </w:r>
    </w:p>
    <w:p>
      <w:pPr/>
      <w:r>
        <w:rPr>
          <w:rFonts w:ascii="Helvetica Light" w:hAnsi="Helvetica Light" w:cs="Helvetica Light"/>
          <w:sz w:val="24"/>
          <w:sz-cs w:val="24"/>
        </w:rPr>
        <w:t xml:space="preserve">* Flexible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Cans</w:t>
      </w:r>
    </w:p>
    <w:p>
      <w:pPr/>
      <w:r>
        <w:rPr>
          <w:rFonts w:ascii="Helvetica Light" w:hAnsi="Helvetica Light" w:cs="Helvetica Light"/>
          <w:sz w:val="24"/>
          <w:sz-cs w:val="24"/>
        </w:rPr>
        <w:t xml:space="preserve">* Bottles and Jars</w:t>
      </w:r>
    </w:p>
    <w:p>
      <w:pPr/>
      <w:r>
        <w:rPr>
          <w:rFonts w:ascii="Helvetica Light" w:hAnsi="Helvetica Light" w:cs="Helvetica Light"/>
          <w:sz w:val="24"/>
          <w:sz-cs w:val="24"/>
        </w:rPr>
        <w:t xml:space="preserve">* Pouches</w:t>
      </w:r>
    </w:p>
    <w:p>
      <w:pPr/>
      <w:r>
        <w:rPr>
          <w:rFonts w:ascii="Helvetica Light" w:hAnsi="Helvetica Light" w:cs="Helvetica Light"/>
          <w:sz w:val="24"/>
          <w:sz-cs w:val="24"/>
        </w:rPr>
        <w:t xml:space="preserve">* Corrugated Boxes</w:t>
      </w:r>
    </w:p>
    <w:p>
      <w:pPr/>
      <w:r>
        <w:rPr>
          <w:rFonts w:ascii="Helvetica Light" w:hAnsi="Helvetica Light" w:cs="Helvetica Light"/>
          <w:sz w:val="24"/>
          <w:sz-cs w:val="24"/>
        </w:rPr>
        <w:t xml:space="preserve">* Other Product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Modified Atmosphere Packaging (MAP)</w:t>
      </w:r>
    </w:p>
    <w:p>
      <w:pPr/>
      <w:r>
        <w:rPr>
          <w:rFonts w:ascii="Helvetica Light" w:hAnsi="Helvetica Light" w:cs="Helvetica Light"/>
          <w:sz w:val="24"/>
          <w:sz-cs w:val="24"/>
        </w:rPr>
        <w:t xml:space="preserve">* Vacuum Packaging</w:t>
      </w:r>
    </w:p>
    <w:p>
      <w:pPr/>
      <w:r>
        <w:rPr>
          <w:rFonts w:ascii="Helvetica Light" w:hAnsi="Helvetica Light" w:cs="Helvetica Light"/>
          <w:sz w:val="24"/>
          <w:sz-cs w:val="24"/>
        </w:rPr>
        <w:t xml:space="preserve">* Hot-Fill</w:t>
      </w:r>
    </w:p>
    <w:p>
      <w:pPr/>
      <w:r>
        <w:rPr>
          <w:rFonts w:ascii="Helvetica Light" w:hAnsi="Helvetica Light" w:cs="Helvetica Light"/>
          <w:sz w:val="24"/>
          <w:sz-cs w:val="24"/>
        </w:rPr>
        <w:t xml:space="preserve">* High-Pressure Processing (HPP)</w:t>
      </w:r>
    </w:p>
    <w:p>
      <w:pPr/>
      <w:r>
        <w:rPr>
          <w:rFonts w:ascii="Helvetica Light" w:hAnsi="Helvetica Light" w:cs="Helvetica Light"/>
          <w:sz w:val="24"/>
          <w:sz-cs w:val="24"/>
        </w:rPr>
        <w:t xml:space="preserve">* Aseptic</w:t>
      </w:r>
    </w:p>
    <w:p>
      <w:pPr/>
      <w:r>
        <w:rPr>
          <w:rFonts w:ascii="Helvetica Light" w:hAnsi="Helvetica Light" w:cs="Helvetica Light"/>
          <w:sz w:val="24"/>
          <w:sz-cs w:val="24"/>
        </w:rPr>
        <w:t xml:space="preserve">* Retort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 Sales</w:t>
      </w:r>
    </w:p>
    <w:p>
      <w:pPr/>
      <w:r>
        <w:rPr>
          <w:rFonts w:ascii="Helvetica Light" w:hAnsi="Helvetica Light" w:cs="Helvetica Light"/>
          <w:sz w:val="24"/>
          <w:sz-cs w:val="24"/>
        </w:rPr>
        <w:t xml:space="preserve">* Indirect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Dairy Products</w:t>
      </w:r>
    </w:p>
    <w:p>
      <w:pPr/>
      <w:r>
        <w:rPr>
          <w:rFonts w:ascii="Helvetica Light" w:hAnsi="Helvetica Light" w:cs="Helvetica Light"/>
          <w:sz w:val="24"/>
          <w:sz-cs w:val="24"/>
        </w:rPr>
        <w:t xml:space="preserve">* Poultry and Meat Products</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Bakery and Confectionery</w:t>
      </w:r>
    </w:p>
    <w:p>
      <w:pPr/>
      <w:r>
        <w:rPr>
          <w:rFonts w:ascii="Helvetica Light" w:hAnsi="Helvetica Light" w:cs="Helvetica Light"/>
          <w:sz w:val="24"/>
          <w:sz-cs w:val="24"/>
        </w:rPr>
        <w:t xml:space="preserve">* Seafood</w:t>
      </w:r>
    </w:p>
    <w:p>
      <w:pPr/>
      <w:r>
        <w:rPr>
          <w:rFonts w:ascii="Helvetica Light" w:hAnsi="Helvetica Light" w:cs="Helvetica Light"/>
          <w:sz w:val="24"/>
          <w:sz-cs w:val="24"/>
        </w:rPr>
        <w:t xml:space="preserve">* Ready Meals and Convenience Food</w:t>
      </w:r>
    </w:p>
    <w:p>
      <w:pPr/>
      <w:r>
        <w:rPr>
          <w:rFonts w:ascii="Helvetica Light" w:hAnsi="Helvetica Light" w:cs="Helvetica Light"/>
          <w:sz w:val="24"/>
          <w:sz-cs w:val="24"/>
        </w:rPr>
        <w:t xml:space="preserve">* Frozen Food</w:t>
      </w:r>
    </w:p>
    <w:p>
      <w:pPr/>
      <w:r>
        <w:rPr>
          <w:rFonts w:ascii="Helvetica Light" w:hAnsi="Helvetica Light" w:cs="Helvetica Light"/>
          <w:sz w:val="24"/>
          <w:sz-cs w:val="24"/>
        </w:rPr>
        <w:t xml:space="preserve">* Other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food packaging market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400.08 billion in 2026 and is on track to reach USD 515.06 billion by 2031, advancing at a 5.18%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generates the highest revenue in food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40.85% of global revenue in 2025 and is also the fastest-growing region at an 8.22%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flexible packaging formats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packs use less material, cut freight weight by up to 70%, and meet brand sustainability goals, helping them secure 56.10% market share in 2025 and a 6.18%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technology is projected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processing shows the highest momentum with an expected 8.55% CAGR, driven by demand for shelf-stable dairy, beverages and sauces.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North American regulations influence recycled content usage?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Mandates such as California's SB 54 require minimum PCR levels, pushing resin premiums up by 15-20% versus virgin PET and prompting long-term supply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challenge does the EU Single-Use Plastic Directive pose to multilayer flexibles?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regulation forces a redesign to recyclable mono-material structures, raising production costs by as much as 14% and tightening compliance timelines to 2028.</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