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Freight and Logistics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Freight Forwarding &amp; Multimodal (Logistics &amp; Supply Chain)  </w:t>
      </w:r>
    </w:p>
    <w:p>
      <w:pPr/>
      <w:r>
        <w:rPr>
          <w:rFonts w:ascii="Helvetica Light" w:hAnsi="Helvetica Light" w:cs="Helvetica Light"/>
          <w:sz w:val="24"/>
          <w:sz-cs w:val="24"/>
        </w:rPr>
        <w:t xml:space="preserve">&gt; **Source:** [https://www.mordorintelligence.com/industry-reports/freight-logistics-market-study](https://www.mordorintelligence.com/industry-reports/freight-logistics-market-study)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6.72 trillion |</w:t>
      </w:r>
    </w:p>
    <w:p>
      <w:pPr/>
      <w:r>
        <w:rPr>
          <w:rFonts w:ascii="Helvetica Light" w:hAnsi="Helvetica Light" w:cs="Helvetica Light"/>
          <w:sz w:val="24"/>
          <w:sz-cs w:val="24"/>
        </w:rPr>
        <w:t xml:space="preserve">| **Projected Forecast (2031)** | USD 6.72 trillion |</w:t>
      </w:r>
    </w:p>
    <w:p>
      <w:pPr/>
      <w:r>
        <w:rPr>
          <w:rFonts w:ascii="Helvetica Light" w:hAnsi="Helvetica Light" w:cs="Helvetica Light"/>
          <w:sz w:val="24"/>
          <w:sz-cs w:val="24"/>
        </w:rPr>
        <w:t xml:space="preserve">| **Growth Rate (CAGR)** | 4.83 %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Freight and Logistics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Share by End User Industry,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Share by Freight Transport,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6.72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8.5 Trillion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4.83 %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Low</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and Logistics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Freight And Logistics Market size is expected to increase from USD 6.38 trillion in 2025 to USD 6.72 trillion in 2026 and reach USD 8.5 trillion by 2031, growing at a CAGR of 4.83% over 2026-2031.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Robust e-commerce activity, infrastructure modernization, rising demand for cross-border courier, express, and parcel (CEP) services, and accelerating public-private partnerships keep the freight and logistics market on a steady growth path. Freight transport remains the backbone of global trade, yet segment diversification toward forwarding, warehousing, and last-mile fulfillment is increasing as shippers seek integrated solutions. Strong regional momentum in Asia-Pacific, regulatory pushes for Scope-3 emissions reporting, and technology investments in automation, visibility, and predictive optimization continue to reshape competitive strategies and cost structures. Consolidation, exemplified by DSV’s purchase of DB Schenker, underscores the sector’s focus on scale, network density, and technology leverage to offset capacity bottlenecks and driver shortages.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logistics function, freight transport held 61.45% of the freight and logistics market share in 2025; freight forwarding is projected to grow at a 5.18%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user industry, wholesale and retail trade commanded 33.10% of the freight and logistics market size in 2025; manufacturing shows the highest 5.17%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freight transport mode, road freight captured 63.85% of the revenue share in 2025; sea and inland waterways are advancing at a 5.37%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courier, express, and parcel type, domestic services accounted for 68.55% of the revenue share in 2025; international CEP leads growth at a 5.46%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freight forwarding transport, sea and inland waterways retained 61.98% of the revenue share in 2025; air freight forwarding is projected to grow at a 4.78%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warehousing and storage type, non-temperature-controlled facilities dominated with 91.10% of the revenue share in 2025; temperature-controlled warehousing is scaling at a 5.24%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secured 41.20% of the freight and logistics market share in 2025 and also posts the fastest 6.15% CAGR between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Freight and Logistics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E-commerce penetration in emerging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Latin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On-demand same-day delivery expectations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developed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Infrastructure upgrades and PPP logistics corridors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Middle East and Africa,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Reshoring and near-shoring of manufacturing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Mexico, Eastern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Mandatory Scope-3 emissions disclosure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(early EU, North America adoption)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Defense-sector stockpiling</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select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Fragmentation reshapes competitive hierarchies as mega-deals realign market share among the top integrators. DSV’s USD 15.78 billion acquisition of DB Schenker creates a combined network spanning 90 countries, pro forma revenue of USD 43.37 billion, and 147,000 employees, signaling a scale-driven response to capacity volatility and rising technological capex. The merger enhances gateway density in Europe and North America, boosting cross-selling opportunities across forwarding, contract logistics, and project cargo verticals.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Carriers pursue vertical integration to capture margin along the value chain. CMA CGM’s logistics arm supplements container shipping with warehousing, freight forwarding, and air cargo services, while Maersk deepens end-to-end ocean-to-inland solutions through its Gemini Cooperation with Hapag-Lloyd. Asset-heavy integrators embed artificial intelligence into route planning, deploy autonomous yard tractors, and install digital twin platforms in warehouses, augmenting service consistency and reducing unit costs within the freight and logistics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regional players in the freight and logistics industry carve niches in specialized transport, cold chain, and cross-border e-commerce fulfillment, leveraging local expertise and agile decision-making. Technology disruptors launch digital brokerage marketplaces, dynamic pricing engines, and predictive maintenance services for fleet owners. Sustainability credentials, including verified emissions dashboards and alternative-fuel fleets, increasingly influence contract awards, intensifying competition on environmental performance alongside traditional service metrics.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Freight and Logistics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DSV A/S (including DB Schenker)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DHL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Parcel Service of America, Inc. (UPS)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Kuehne + Nagel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A.P. Moller - Maersk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Freight and Logistics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End User Industry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Agriculture, Fishing, and Forestry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Construction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Manufacturing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Oil and Gas, Mining and Quarrying</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Wholesale and Retail Trade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Denmark</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Finland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Iceland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Norway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Romania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Country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Uruguay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freight and logistics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freight and logistics market size reached USD 6.72 trillion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growth rate for freight and logistics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forecast to grow at a 4.83% CAGR (2026-2031), reaching USD 8.5 trillion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expanding fastest in freight and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growth with a 6.15% CAGR (2026-2031), driven by manufacturing diversification and infrastructure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segment shows the highest growth within freight and logistics?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Freight forwarding is the fastest-growing logistics function, registering a 5.18%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transport mode is gaining share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Sea and inland waterways transport is advancing at a 5.37% CAGR (2026-2031), benefiting from capacity investments and route diversification.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sustainability regulations affecting logistics providers?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Scope-3 emissions disclosures drive carriers to adopt alternative fuels, enhance intermodal solutions, and deploy digital carbon tracking tools to stay compliant and competitive.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