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Fuel Card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[https://www.mordorintelligence.com/industry-reports/fuel-card-market](https://www.mordorintelligence.com/industry-reports/fuel-card-market)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224.80 billion |</w:t>
      </w:r>
    </w:p>
    <w:p>
      <w:pPr/>
      <w:r>
        <w:rPr>
          <w:rFonts w:ascii="Helvetica Light" w:hAnsi="Helvetica Light" w:cs="Helvetica Light"/>
          <w:sz w:val="24"/>
          <w:sz-cs w:val="24"/>
        </w:rPr>
        <w:t xml:space="preserve">| **Projected Forecast (2031)** | USD 224.80 billion |</w:t>
      </w:r>
    </w:p>
    <w:p>
      <w:pPr/>
      <w:r>
        <w:rPr>
          <w:rFonts w:ascii="Helvetica Light" w:hAnsi="Helvetica Light" w:cs="Helvetica Light"/>
          <w:sz w:val="24"/>
          <w:sz-cs w:val="24"/>
        </w:rPr>
        <w:t xml:space="preserve">| **Growth Rate (CAGR)** | 4.90 %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Fuel Card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Market Share by Card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Market Share by Customer,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224.80 Billion | </w:t>
      </w:r>
    </w:p>
    <w:p>
      <w:pPr/>
      <w:r>
        <w:rPr>
          <w:rFonts w:ascii="Helvetica Light" w:hAnsi="Helvetica Light" w:cs="Helvetica Light"/>
          <w:sz w:val="24"/>
          <w:sz-cs w:val="24"/>
        </w:rPr>
        <w:t xml:space="preserve">Market Size (2031) | USD 285.20 Billion | </w:t>
      </w:r>
    </w:p>
    <w:p>
      <w:pPr/>
      <w:r>
        <w:rPr>
          <w:rFonts w:ascii="Helvetica Light" w:hAnsi="Helvetica Light" w:cs="Helvetica Light"/>
          <w:sz w:val="24"/>
          <w:sz-cs w:val="24"/>
        </w:rPr>
        <w:t xml:space="preserve">Growth Rate (2026 - 2031) | 4.90 %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Market Analysis by Mordor IntelligenceThe fuel card market size was valued at USD 215.6 billion in 2025 and is estimated to grow from USD 224.8 billion in 2026 to reach USD 285.2 billion by 2031, at a CAGR of 4.9% during the forecast period (2026-2031). The fuel card market is supported by commercial fleets that need controlled purchasing, transaction records, and better oversight of fuel spending. Fleet operators are replacing cash purchases and receipt-based reimbursement with digital payment tools that provide clearer transaction visibility and spending controls. This shift also supports links between card payments and enterprise fleet systems, which makes fuel cards more useful in day-to-day fleet administration. Commercial vehicle activity and road-based logistics continue to create demand for managed refueling arrangements in established and developing transport markets. Competition is increasingly centered on payment data, telematics links, electric vehicle charging access, and the ability to combine several mobility expenses on a single invoice.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card type, independent and bank fleet cards captured 54.8% of the fuel card market share in 2025 and are projected to grow at a 5.6% CAGR through 2031.</w:t>
      </w:r>
    </w:p>
    <w:p>
      <w:pPr/>
      <w:r>
        <w:rPr>
          <w:rFonts w:ascii="Helvetica Light" w:hAnsi="Helvetica Light" w:cs="Helvetica Light"/>
          <w:sz w:val="24"/>
          <w:sz-cs w:val="24"/>
        </w:rPr>
        <w:t xml:space="preserve">* By vehicle type, heavy trucks and buses captured 62.3% of the fuel card market share in 2025, while light commercial vehicles are projected to grow at a 6.1% CAGR through 2031.</w:t>
      </w:r>
    </w:p>
    <w:p>
      <w:pPr/>
      <w:r>
        <w:rPr>
          <w:rFonts w:ascii="Helvetica Light" w:hAnsi="Helvetica Light" w:cs="Helvetica Light"/>
          <w:sz w:val="24"/>
          <w:sz-cs w:val="24"/>
        </w:rPr>
        <w:t xml:space="preserve">* By customer type, transport and logistics operators captured 49.7% of the fuel card market share in 2025, while the public sector is projected to grow at a 6.3% CAGR through 2031.</w:t>
      </w:r>
    </w:p>
    <w:p>
      <w:pPr/>
      <w:r>
        <w:rPr>
          <w:rFonts w:ascii="Helvetica Light" w:hAnsi="Helvetica Light" w:cs="Helvetica Light"/>
          <w:sz w:val="24"/>
          <w:sz-cs w:val="24"/>
        </w:rPr>
        <w:t xml:space="preserve">* By geography, North America captured 56.5% of the fuel card market share in 2025, while Asia-Pacific is projected to grow at a 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Fuel Card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Commercial Fleet and Road Logistics Growth | +1.0% | Global | Short term (≤ 2 years) | </w:t>
      </w:r>
    </w:p>
    <w:p>
      <w:pPr/>
      <w:r>
        <w:rPr>
          <w:rFonts w:ascii="Helvetica Light" w:hAnsi="Helvetica Light" w:cs="Helvetica Light"/>
          <w:sz w:val="24"/>
          <w:sz-cs w:val="24"/>
        </w:rPr>
        <w:t xml:space="preserve">Fleet Fuel Spend Control and Cost Visibility | +0.8% | Global | Short term (≤ 2 years) | </w:t>
      </w:r>
    </w:p>
    <w:p>
      <w:pPr/>
      <w:r>
        <w:rPr>
          <w:rFonts w:ascii="Helvetica Light" w:hAnsi="Helvetica Light" w:cs="Helvetica Light"/>
          <w:sz w:val="24"/>
          <w:sz-cs w:val="24"/>
        </w:rPr>
        <w:t xml:space="preserve">Telematics and Fleet-System Integration | +0.7% | North America and European Union | Medium term (2-4 years) | </w:t>
      </w:r>
    </w:p>
    <w:p>
      <w:pPr/>
      <w:r>
        <w:rPr>
          <w:rFonts w:ascii="Helvetica Light" w:hAnsi="Helvetica Light" w:cs="Helvetica Light"/>
          <w:sz w:val="24"/>
          <w:sz-cs w:val="24"/>
        </w:rPr>
        <w:t xml:space="preserve">Multi-Brand Acceptance Network Expansion | +0.6% | North America and European Union, expanding to Asia-Pacific | Medium term (2-4 years) | </w:t>
      </w:r>
    </w:p>
    <w:p>
      <w:pPr/>
      <w:r>
        <w:rPr>
          <w:rFonts w:ascii="Helvetica Light" w:hAnsi="Helvetica Light" w:cs="Helvetica Light"/>
          <w:sz w:val="24"/>
          <w:sz-cs w:val="24"/>
        </w:rPr>
        <w:t xml:space="preserve">Integrated Fuel, Electric Vehicle Charging, and Mobility Payments | +0.5% | European Union, North America, and Asia-Pacific | Long term (≥ 4 years) | </w:t>
      </w:r>
    </w:p>
    <w:p>
      <w:pPr/>
      <w:r>
        <w:rPr>
          <w:rFonts w:ascii="Helvetica Light" w:hAnsi="Helvetica Light" w:cs="Helvetica Light"/>
          <w:sz w:val="24"/>
          <w:sz-cs w:val="24"/>
        </w:rPr>
        <w:t xml:space="preserve">Real-Time Controls and Fraud Prevention | +0.4% | Global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fuel card market has concentrated global leaders and a fragmented regional and small-fleet field. WEX, Corpay, DKV Mobility, and Eurowag compete as integrated payment platforms, while Shell, BP, ExxonMobil, TotalEnergies, Chevron, and Repsol operate branded card programs. Integrated platforms are adding electric vehicle charging, toll management, and fleet data capabilities. Oil majors are using payment partnerships to extend acceptance and modernize their products. This structure leaves room for local specialists and financial technology providers that focus on smaller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DKV Mobility acquired Dutch fuel and charge-card provider MKB Brandstof in May 2026. The acquisition added 115,000 fleet cards and 55,000 small and medium-sized business customers to DKV Mobility’s Benelux position. The deal also extended access to 76,000 fueling stations and more than 1 million charge points across Europe. WEX launched a unified fuel and public charging card in January 2026, covering more than 175,000 charging ports and over 90% of United States gas stations. These moves show how the fuel card market is moving toward wider mobility-payment coverage.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fleets remain an important competitive area because they may prefer open-loop cards with broad acceptance and direct savings. AtoB’s Mastercard-based offering focuses on this group and reports average diesel savings of USD 0.42 per gallon. Shell and WEX redesigned their United States card products in 2025 with access to 95% of gas stations and multiple charging networks. Eurowag and FincoEnergies introduced Biofuel Swap in March 2026 as a virtual hydrotreated vegetable oil decarbonization service within Eurowag’s digital mobility ecosystem.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Fuel Card Industry Leaders* Corpay,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WEX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Shell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Exxon Mobil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Fuel Card Market Report ScopeBy Card TypeOil-Major/Retailer-Branded | </w:t>
      </w:r>
    </w:p>
    <w:p>
      <w:pPr/>
      <w:r>
        <w:rPr>
          <w:rFonts w:ascii="Helvetica Light" w:hAnsi="Helvetica Light" w:cs="Helvetica Light"/>
          <w:sz w:val="24"/>
          <w:sz-cs w:val="24"/>
        </w:rPr>
        <w:t xml:space="preserve">Independent &amp; Bank Fleet Cards | </w:t>
      </w:r>
    </w:p>
    <w:p>
      <w:pPr/>
      <w:r>
        <w:rPr>
          <w:rFonts w:ascii="Helvetica Light" w:hAnsi="Helvetica Light" w:cs="Helvetica Light"/>
          <w:sz w:val="24"/>
          <w:sz-cs w:val="24"/>
        </w:rPr>
        <w:t xml:space="preserve">Government Programmes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fuel card adoption among fleet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spending controls, wider merchant acceptance, telematics links, and combined fuel and charging payments support adoption. These functions give managers clearer transaction records and more control over fleet expenditure.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fuel card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fuel card market size is estimated at USD 224.8 billion in 2026 and is forecast to reach USD 285.2 billion by 2031. The forecast period CAGR is 4.9%.</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card type leads fuel card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Independent and bank fleet cards held 54.8% of 2025 revenue and are projected to grow at a 5.6% CAGR through 2031. Broad acceptance supports their position with varied fleet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vehicles create the most fuel card spending?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Heavy trucks and buses held 62.3% of 2025 vehicle revenue because of intensive fuel use in freight and passenger transport. Light commercial vehicles have the highest projected growth rate at 6.1%.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strongest fuel card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56.5% of 2025 revenue, while Asia-Pacific is projected to expand at a 7.8% CAGR through 2031. Cross-border freight and fleet formalization influence regional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electric vehicles affecting fleet payment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Providers are adding public charging access to fuel cards so mixed internal-combustion, hybrid, and electric fleets can use one account and invoice. This reduces administrative complexity for operators managing more than one energy source.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