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Furniture And Home Furnishing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Grocery, Supermarkets &amp; General Retail (Retail)  </w:t>
      </w:r>
    </w:p>
    <w:p>
      <w:pPr/>
      <w:r>
        <w:rPr>
          <w:rFonts w:ascii="Helvetica Light" w:hAnsi="Helvetica Light" w:cs="Helvetica Light"/>
          <w:sz w:val="24"/>
          <w:sz-cs w:val="24"/>
        </w:rPr>
        <w:t xml:space="preserve">&gt; **Source:** [https://www.mordorintelligence.com/industry-reports/furniture-and-home-furnishing](https://www.mordorintelligence.com/industry-reports/furniture-and-home-furnishing)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 trillion |</w:t>
      </w:r>
    </w:p>
    <w:p>
      <w:pPr/>
      <w:r>
        <w:rPr>
          <w:rFonts w:ascii="Helvetica Light" w:hAnsi="Helvetica Light" w:cs="Helvetica Light"/>
          <w:sz w:val="24"/>
          <w:sz-cs w:val="24"/>
        </w:rPr>
        <w:t xml:space="preserve">| **Projected Forecast (2031)** | USD 1 trillion |</w:t>
      </w:r>
    </w:p>
    <w:p>
      <w:pPr/>
      <w:r>
        <w:rPr>
          <w:rFonts w:ascii="Helvetica Light" w:hAnsi="Helvetica Light" w:cs="Helvetica Light"/>
          <w:sz w:val="24"/>
          <w:sz-cs w:val="24"/>
        </w:rPr>
        <w:t xml:space="preserve">| **Growth Rate (CAGR)** | 7.39 %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Furniture And Home Furnishing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![Furniture And Home Furnishing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![Furniture And Home Furnishing Market: Market Share by Application](images/chart_4.png)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![Furniture And Home Furnishing Market: Market Share by Distribution Channel](images/chart_5.png)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![Furniture And Home Furnishing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![MC6.png](images/chart_7.png)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 Trillion | </w:t>
      </w:r>
    </w:p>
    <w:p>
      <w:pPr/>
      <w:r>
        <w:rPr>
          <w:rFonts w:ascii="Helvetica Light" w:hAnsi="Helvetica Light" w:cs="Helvetica Light"/>
          <w:sz w:val="24"/>
          <w:sz-cs w:val="24"/>
        </w:rPr>
        <w:t xml:space="preserve">Market Size (2031) | USD 1.43 Trillion | </w:t>
      </w:r>
    </w:p>
    <w:p>
      <w:pPr/>
      <w:r>
        <w:rPr>
          <w:rFonts w:ascii="Helvetica Light" w:hAnsi="Helvetica Light" w:cs="Helvetica Light"/>
          <w:sz w:val="24"/>
          <w:sz-cs w:val="24"/>
        </w:rPr>
        <w:t xml:space="preserve">Growth Rate (2026 - 2031) | 7.39 %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Furniture And Home Furnishing Market Analysis by Mordor IntelligenceThe Furniture And Home Furnishing Market size was valued at USD 0.93 trillion in 2025 and is estimated to grow from USD 1 trillion in 2026 to reach USD 1.43 trillion by 2031, at a CAGR of 7.39%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shift follows normalization of post-pandemic demand patterns, a durable pivot to hybrid work, and sustained investment in omnichannel capabilities that lift reach and conversion across formats. Leading manufacturers and retailers are scaling smaller format stores, deepening in-store planning services, and expanding last-mile capacity to reduce returns and delivery costs in categories with bulky logistics. Procurement strategies are adapting to tariff exposure and supply volatility across wood, steel, aluminum, and critical components, with some companies nearshoring or dual sourcing to maintain service levels. Select operators are balancing these pressures with pricing actions and disciplined capital allocation to fund expansion where digital and physical channels reinforce one another.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Living Room led with 35.26% of the furniture and home furnishing market share in 2025, while Outdoor is projected to expand at an 8.12% CAGR through 2031, emphasizing the resilience of indoor anchors and the durability of post-pandemic outdoor living upgrades.</w:t>
      </w:r>
    </w:p>
    <w:p>
      <w:pPr/>
      <w:r>
        <w:rPr>
          <w:rFonts w:ascii="Helvetica Light" w:hAnsi="Helvetica Light" w:cs="Helvetica Light"/>
          <w:sz w:val="24"/>
          <w:sz-cs w:val="24"/>
        </w:rPr>
        <w:t xml:space="preserve">* By material, Wood held a dominant 46.61% of the furniture and home furnishing market share in 2025, while Plastic is forecast to post the fastest 8.36% CAGR to 2031 as recycled-content mandates and weather-resistant outdoor use cases gather momentum.</w:t>
      </w:r>
    </w:p>
    <w:p>
      <w:pPr/>
      <w:r>
        <w:rPr>
          <w:rFonts w:ascii="Helvetica Light" w:hAnsi="Helvetica Light" w:cs="Helvetica Light"/>
          <w:sz w:val="24"/>
          <w:sz-cs w:val="24"/>
        </w:rPr>
        <w:t xml:space="preserve">* By distribution channel, B2C/Retail captured 71.15% of the furniture and home furnishing market share in 2025 sales, while B2B/Project is the fastest-growing at a 7.25% CAGR, aligned to hybrid office retrofits and institutional purchasing cycles.</w:t>
      </w:r>
    </w:p>
    <w:p>
      <w:pPr/>
      <w:r>
        <w:rPr>
          <w:rFonts w:ascii="Helvetica Light" w:hAnsi="Helvetica Light" w:cs="Helvetica Light"/>
          <w:sz w:val="24"/>
          <w:sz-cs w:val="24"/>
        </w:rPr>
        <w:t xml:space="preserve">* By geography, North America accounted for 28.41% of the furniture and home furnishing market share in 2025, while Asia-Pacific is the fastest-expanding region at an 8.01% CAGR through 2031, underscoring long-run urbanization and demographic tailwinds in core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Furniture And Home Furnishing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Rapid Urbanization &amp; Shrinking Living Spaces | +1.8% | Global, peak in India, China, Asia-Pacific | Long term (≥ 4 years) | </w:t>
      </w:r>
    </w:p>
    <w:p>
      <w:pPr/>
      <w:r>
        <w:rPr>
          <w:rFonts w:ascii="Helvetica Light" w:hAnsi="Helvetica Light" w:cs="Helvetica Light"/>
          <w:sz w:val="24"/>
          <w:sz-cs w:val="24"/>
        </w:rPr>
        <w:t xml:space="preserve">Rising Disposable Income in Emerging Economies | +1.5% | Asia-Pacific core, spill-over to Middle East &amp; Africa, South America | Long term (≥ 4 years) | </w:t>
      </w:r>
    </w:p>
    <w:p>
      <w:pPr/>
      <w:r>
        <w:rPr>
          <w:rFonts w:ascii="Helvetica Light" w:hAnsi="Helvetica Light" w:cs="Helvetica Light"/>
          <w:sz w:val="24"/>
          <w:sz-cs w:val="24"/>
        </w:rPr>
        <w:t xml:space="preserve">Growth of E-Commerce &amp; Omnichannel Furniture Retailing | +1.2% | Global, early gains in North America, Europe | Medium term (2-4 years) | </w:t>
      </w:r>
    </w:p>
    <w:p>
      <w:pPr/>
      <w:r>
        <w:rPr>
          <w:rFonts w:ascii="Helvetica Light" w:hAnsi="Helvetica Light" w:cs="Helvetica Light"/>
          <w:sz w:val="24"/>
          <w:sz-cs w:val="24"/>
        </w:rPr>
        <w:t xml:space="preserve">Post-Pandemic Work-From-Home Furniture Demand Spike | +2.1% | North America, Western Europe, select Asia-Pacific metros | Medium term (2-4 years) | </w:t>
      </w:r>
    </w:p>
    <w:p>
      <w:pPr/>
      <w:r>
        <w:rPr>
          <w:rFonts w:ascii="Helvetica Light" w:hAnsi="Helvetica Light" w:cs="Helvetica Light"/>
          <w:sz w:val="24"/>
          <w:sz-cs w:val="24"/>
        </w:rPr>
        <w:t xml:space="preserve">Surge in Demand for Modular, Space-Saving Designs | +1.3% | Global, concentrated in urban centers | Medium term (2-4 years) | </w:t>
      </w:r>
    </w:p>
    <w:p>
      <w:pPr/>
      <w:r>
        <w:rPr>
          <w:rFonts w:ascii="Helvetica Light" w:hAnsi="Helvetica Light" w:cs="Helvetica Light"/>
          <w:sz w:val="24"/>
          <w:sz-cs w:val="24"/>
        </w:rPr>
        <w:t xml:space="preserve">Circular-Economy Mandates Driving Recycled Material Adoption | +0.8% | Europe leadership, regulatory influence spreading globally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furniture and home furnishing market remains highly fragmented, with the largest players holding a relatively small share of overall revenue. Leading companies include Inter IKEA Group, Ashley Furniture Industries, MillerKnoll, Steelcase, and Williams-Sonoma, while regional specialists, nimble pure-play retailers, and contract-focused suppliers continue to capture significant portions of the market. Retailers are investing in store format innovation, omnichannel integration, and planning services that blend digital discovery with in-store experiences. Premium-focused brands are emphasizing ergonomic design, verified sustainability, and workplace solutions that support hybrid and flexible office layouts. Together, these strategies maintain a diverse and competitive market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companies are focusing on vertical integration, logistics improvements, and expanding store networks to speed up delivery and reduce damage for bulky products. Inter IKEA Group is adding smaller-format planning points and enhancing fulfillment capacity to support omnichannel growth, while Ashley Furniture Industries is expanding United States manufacturing with new facilities aimed at boosting operational efficiency. Contract-focused brands are launching product lines that combine home-office ergonomics with residential aesthetics for hybrid work environments. These initiatives strengthen visibility and availability across regions and support a consistent market presence.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Product standards, sustainability goals, and evolving procurement rules are shaping innovation and compliance among market leaders. MillerKnoll continues to scale core product lines and expand retail operations to meet enterprise buyer expectations, while Steelcase integrates workplace solutions with brand collaborations designed for hybrid and modern office environments. Ecolabels and material reporting standards are increasingly influencing design, emissions, and end-of-life management, favoring companies with strong compliance infrastructure. Williams-Sonoma balances pricing actions, shareholder returns, and selective growth to manage cost pressures from tariffs. Retailers are also optimizing sourcing strategies, including nearshoring and dual sourcing, to stabilize costs while maintaining product quality, ensuring steady execution in a complex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Furniture And Home Furnishing Industry Leaders* Inter IKEA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Ashley Furniture Industries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Herman Miller (MillerKnoll)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Steelcase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Williams-Sonoma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value of finished furniture and home furnishing products sold for residential and contract use, across offline and online channels, and counted at the point of sale in each country.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building fixtures and installed interiors (such as fixed cabinetry that is part of construction) and also exclude services like interior design and logistics when they are billed separately.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Kitchen</w:t>
      </w:r>
    </w:p>
    <w:p>
      <w:pPr/>
      <w:r>
        <w:rPr>
          <w:rFonts w:ascii="Helvetica Light" w:hAnsi="Helvetica Light" w:cs="Helvetica Light"/>
          <w:sz w:val="24"/>
          <w:sz-cs w:val="24"/>
        </w:rPr>
        <w:t xml:space="preserve">* Living Room</w:t>
      </w:r>
    </w:p>
    <w:p>
      <w:pPr/>
      <w:r>
        <w:rPr>
          <w:rFonts w:ascii="Helvetica Light" w:hAnsi="Helvetica Light" w:cs="Helvetica Light"/>
          <w:sz w:val="24"/>
          <w:sz-cs w:val="24"/>
        </w:rPr>
        <w:t xml:space="preserve">* Bedroom</w:t>
      </w:r>
    </w:p>
    <w:p>
      <w:pPr/>
      <w:r>
        <w:rPr>
          <w:rFonts w:ascii="Helvetica Light" w:hAnsi="Helvetica Light" w:cs="Helvetica Light"/>
          <w:sz w:val="24"/>
          <w:sz-cs w:val="24"/>
        </w:rPr>
        <w:t xml:space="preserve">* Bathroom</w:t>
      </w:r>
    </w:p>
    <w:p>
      <w:pPr/>
      <w:r>
        <w:rPr>
          <w:rFonts w:ascii="Helvetica Light" w:hAnsi="Helvetica Light" w:cs="Helvetica Light"/>
          <w:sz w:val="24"/>
          <w:sz-cs w:val="24"/>
        </w:rPr>
        <w:t xml:space="preserve">* Outdoor</w:t>
      </w:r>
    </w:p>
    <w:p>
      <w:pPr/>
      <w:r>
        <w:rPr>
          <w:rFonts w:ascii="Helvetica Light" w:hAnsi="Helvetica Light" w:cs="Helvetica Light"/>
          <w:sz w:val="24"/>
          <w:sz-cs w:val="24"/>
        </w:rPr>
        <w:t xml:space="preserve">* Other Furniture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Material* Wood</w:t>
      </w:r>
    </w:p>
    <w:p>
      <w:pPr/>
      <w:r>
        <w:rPr>
          <w:rFonts w:ascii="Helvetica Light" w:hAnsi="Helvetica Light" w:cs="Helvetica Light"/>
          <w:sz w:val="24"/>
          <w:sz-cs w:val="24"/>
        </w:rPr>
        <w:t xml:space="preserve">* Metal</w:t>
      </w:r>
    </w:p>
    <w:p>
      <w:pPr/>
      <w:r>
        <w:rPr>
          <w:rFonts w:ascii="Helvetica Light" w:hAnsi="Helvetica Light" w:cs="Helvetica Light"/>
          <w:sz w:val="24"/>
          <w:sz-cs w:val="24"/>
        </w:rPr>
        <w:t xml:space="preserve">* Plastic</w:t>
      </w:r>
    </w:p>
    <w:p>
      <w:pPr/>
      <w:r>
        <w:rPr>
          <w:rFonts w:ascii="Helvetica Light" w:hAnsi="Helvetica Light" w:cs="Helvetica Light"/>
          <w:sz w:val="24"/>
          <w:sz-cs w:val="24"/>
        </w:rPr>
        <w:t xml:space="preserve">* Fabric</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B2C / Retail* Home Centers</w:t>
      </w:r>
    </w:p>
    <w:p>
      <w:pPr/>
      <w:r>
        <w:rPr>
          <w:rFonts w:ascii="Helvetica Light" w:hAnsi="Helvetica Light" w:cs="Helvetica Light"/>
          <w:sz w:val="24"/>
          <w:sz-cs w:val="24"/>
        </w:rPr>
        <w:t xml:space="preserve">* Specialty Furniture Stores</w:t>
      </w:r>
    </w:p>
    <w:p>
      <w:pPr/>
      <w:r>
        <w:rPr>
          <w:rFonts w:ascii="Helvetica Light" w:hAnsi="Helvetica Light" w:cs="Helvetica Light"/>
          <w:sz w:val="24"/>
          <w:sz-cs w:val="24"/>
        </w:rPr>
        <w:t xml:space="preserve">* Online</w:t>
      </w:r>
    </w:p>
    <w:p>
      <w:pPr/>
      <w:r>
        <w:rPr>
          <w:rFonts w:ascii="Helvetica Light" w:hAnsi="Helvetica Light" w:cs="Helvetica Light"/>
          <w:sz w:val="24"/>
          <w:sz-cs w:val="24"/>
        </w:rPr>
        <w:t xml:space="preserve">* Other Distribution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B2B / Project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 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furniture and home furnishing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furniture and home furnishing market size is USD 1.00 trillion in 2026 and is projected to reach USD 1.43 trillion by 2031 at a 7.39% CAGR, reflecting sustained demand across residential and project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applications are leading and which are growing the fastest in this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Living Room leads with 35.26% of 2025 revenue, while Outdoor is projected to grow the fastest at an 8.12% CAGR through 2031 as exterior spaces become extensions of indoor living.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 materials trends shape the competitive outlook?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Wood retains a 46.61% share in 2025 due to consumer preference and durability, while Plastic is the fastest-growing material at an 8.36% CAGR, supported by recycled-content mandates and outdoor use cases.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most important for near-term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North America holds 28.41% of 2025 revenue, while Asia-Pacific is the fastest-growing region at an 8.01% CAGR based on urbanization and rising household incomes across key markets.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regulations influencing product and sourcing decisions?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circularity rules and procurement standards prioritize durability, repairability, recycled content, and verified ecolabels, which shape materials choices and supply-chain documentation for products sold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strategic moves are leaders making to strengthen positioning?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Leading companies are investing in smaller format planning stores, fulfillment capacity, and standards alignment while executing pricing and capital actions to offset input volatility and tariff exposure.</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