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GCC Infrastructure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[https://www.mordorintelligence.com/industry-reports/gcc-infrastructure-market](https://www.mordorintelligence.com/industry-reports/gcc-infrastructure-market)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41.10 billion |</w:t>
      </w:r>
    </w:p>
    <w:p>
      <w:pPr/>
      <w:r>
        <w:rPr>
          <w:rFonts w:ascii="Helvetica Light" w:hAnsi="Helvetica Light" w:cs="Helvetica Light"/>
          <w:sz w:val="24"/>
          <w:sz-cs w:val="24"/>
        </w:rPr>
        <w:t xml:space="preserve">| **Projected Forecast (2031)** | USD 41.10 billion |</w:t>
      </w:r>
    </w:p>
    <w:p>
      <w:pPr/>
      <w:r>
        <w:rPr>
          <w:rFonts w:ascii="Helvetica Light" w:hAnsi="Helvetica Light" w:cs="Helvetica Light"/>
          <w:sz w:val="24"/>
          <w:sz-cs w:val="24"/>
        </w:rPr>
        <w:t xml:space="preserve">| **Growth Rate (CAGR)** | 5.67 %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GCC Infrastructure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Market: Market Share by Infrastructure Segment](images/chart_4.png)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Market: Market Share by Investment Source](images/chart_5.png)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Market Size (2025) | USD 41.10 Billion | </w:t>
      </w:r>
    </w:p>
    <w:p>
      <w:pPr/>
      <w:r>
        <w:rPr>
          <w:rFonts w:ascii="Helvetica Light" w:hAnsi="Helvetica Light" w:cs="Helvetica Light"/>
          <w:sz w:val="24"/>
          <w:sz-cs w:val="24"/>
        </w:rPr>
        <w:t xml:space="preserve">Market Size (2030) | USD 54.20 Billion | </w:t>
      </w:r>
    </w:p>
    <w:p>
      <w:pPr/>
      <w:r>
        <w:rPr>
          <w:rFonts w:ascii="Helvetica Light" w:hAnsi="Helvetica Light" w:cs="Helvetica Light"/>
          <w:sz w:val="24"/>
          <w:sz-cs w:val="24"/>
        </w:rPr>
        <w:t xml:space="preserve">Growth Rate (2025 - 2030) | 5.67 %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Market Analysis by Mordor IntelligenceThe GCC Infrastructure Market size is estimated at USD 41.10 billion in 2025, and is expected to reach USD 54.20 billion by 2030, at a CAGR of 5.67% during the forecast period (2025-2030). Government-driven diversification agendas, large-scale public funding, and broad economic liberalization are sustaining this trajectory. Transportation retains primacy through mega-projects such as the USD 7 billion GCC Railway and Saudi Arabia’s USD 22.5 billion Riyadh Metro, yet utilities are scaling faster as water security and renewable energy goals reshape funding priorities. New construction dominates activity because of abundant land, smart-city ambitions, and incentive structures that reward greenfield approaches over retrofits. Financing innovation through sukuk, infrastructure bonds, and re-tooled PPP laws is broadening the investor base, while localization mandates ensure that value creation remains within member states. Moderate competitive intensity persists: the top 10 contractors captured 60% of contract value in 2024, but project pipelines remain large enough to accommodate both global tier-one firms and agile regional specialists.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infrastructure segment, transportation captured 44.2% of GCC infrastructure market share in 2024, while utilities are forecast to expand at a 6.44% CAGR through 2030. </w:t>
      </w:r>
    </w:p>
    <w:p>
      <w:pPr/>
      <w:r>
        <w:rPr>
          <w:rFonts w:ascii="Helvetica Light" w:hAnsi="Helvetica Light" w:cs="Helvetica Light"/>
          <w:sz w:val="24"/>
          <w:sz-cs w:val="24"/>
        </w:rPr>
        <w:t xml:space="preserve">* By construction type, new builds accounted for 81.3% of the GCC infrastructure market size in 2024, whereas renovation projects are projected to rise at a 6.67% CAGR to 2030. </w:t>
      </w:r>
    </w:p>
    <w:p>
      <w:pPr/>
      <w:r>
        <w:rPr>
          <w:rFonts w:ascii="Helvetica Light" w:hAnsi="Helvetica Light" w:cs="Helvetica Light"/>
          <w:sz w:val="24"/>
          <w:sz-cs w:val="24"/>
        </w:rPr>
        <w:t xml:space="preserve">* By investment source, public funding held 74.7% of the GCC infrastructure market share in 2024, while private investment records the highest projected CAGR at 6.88% through 2030. </w:t>
      </w:r>
    </w:p>
    <w:p>
      <w:pPr/>
      <w:r>
        <w:rPr>
          <w:rFonts w:ascii="Helvetica Light" w:hAnsi="Helvetica Light" w:cs="Helvetica Light"/>
          <w:sz w:val="24"/>
          <w:sz-cs w:val="24"/>
        </w:rPr>
        <w:t xml:space="preserve">* By country, Saudi Arabia led with 74.9% of the GCC infrastructure market size in 2024, yet Qatar is expected to post the fastest 7.03% CAGR during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GCC Infrastructure Market*Drivers | ( ~ ) % Impact on CAGR Forecast | Geographic Relevance | Impact Timeline | </w:t>
      </w:r>
    </w:p>
    <w:p>
      <w:pPr/>
      <w:r>
        <w:rPr>
          <w:rFonts w:ascii="Helvetica Light" w:hAnsi="Helvetica Light" w:cs="Helvetica Light"/>
          <w:sz w:val="24"/>
          <w:sz-cs w:val="24"/>
        </w:rPr>
        <w:t xml:space="preserve">Economic diversification agendas are pushing massive transport, tourism, and social infrastructure spend | +1.2% | Saudi Arabia, UAE, with spillover to Qatar and Kuwait | Long term (≥ 4 years) | </w:t>
      </w:r>
    </w:p>
    <w:p>
      <w:pPr/>
      <w:r>
        <w:rPr>
          <w:rFonts w:ascii="Helvetica Light" w:hAnsi="Helvetica Light" w:cs="Helvetica Light"/>
          <w:sz w:val="24"/>
          <w:sz-cs w:val="24"/>
        </w:rPr>
        <w:t xml:space="preserve">Population growth and urbanization are creating demand for housing, utilities, healthcare, and education assets | +0.8% | Region-wide urban centers | Medium term (2-4 years) | </w:t>
      </w:r>
    </w:p>
    <w:p>
      <w:pPr/>
      <w:r>
        <w:rPr>
          <w:rFonts w:ascii="Helvetica Light" w:hAnsi="Helvetica Light" w:cs="Helvetica Light"/>
          <w:sz w:val="24"/>
          <w:sz-cs w:val="24"/>
        </w:rPr>
        <w:t xml:space="preserve">Mega / giga-projects anchoring long-term capex pipelines | +0.6% | Saudi Arabia and UAE; Qatar secondary | Long term (≥ 4 years) | </w:t>
      </w:r>
    </w:p>
    <w:p>
      <w:pPr/>
      <w:r>
        <w:rPr>
          <w:rFonts w:ascii="Helvetica Light" w:hAnsi="Helvetica Light" w:cs="Helvetica Light"/>
          <w:sz w:val="24"/>
          <w:sz-cs w:val="24"/>
        </w:rPr>
        <w:t xml:space="preserve">Strategic energy and water security investments | +0.5% | All GCC focus on water-scarce areas | Medium term (2-4 years) | </w:t>
      </w:r>
    </w:p>
    <w:p>
      <w:pPr/>
      <w:r>
        <w:rPr>
          <w:rFonts w:ascii="Helvetica Light" w:hAnsi="Helvetica Light" w:cs="Helvetica Light"/>
          <w:sz w:val="24"/>
          <w:sz-cs w:val="24"/>
        </w:rPr>
        <w:t xml:space="preserve">Regional connectivity goals strengthening trade and logistics positioning | +0.4% | Cross-border initiatives, port cities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moderately concentrated. Bechtel secured USD 8.5 billion in 2024 GCC awards, China State Construction Engineering Corp booked USD 12.2 billion, while Saudi Binladin Group retained USD 6.8 billion in domestic commitments. The top 10 players jointly control about 60% of awards, leaving ample room for mid-sized regional specialists to capture sub-USD 500 million packages. Differentiation hinges on BIM proficiency, AI-powered scheduling, and sustainability credentials aligned with government green mandates.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Localization beats as a core compliance lever. Saudi and UAE rules require 30-40% local employment and rising local-content ratios. International EPCs form joint ventures, such as Vinci with Al Rajhi, to navigate local procurement rules while transferring know-how. Technology adoption offers bidders a margin edge; drone surveying, modular fabrication, and digital twins compress timelines and mitigate cost overruns, critical under fixed-price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Consolidation and partnerships continue. Global majors acquire niche water or renewable specialists to bolster utilities' credentials. Regional firms scale via M&amp;A or secure preferred-bidder status on repeat frameworks. Emerging white space revolves around smart-city tech stacks, high-voltage transmission, and advanced desalination, where domain expertise outweighs price in tender scoring. The evolving field underscores a balanced mix of global capital, local insight, and digital prowess in the GCC infrastructure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Industry Leaders* Saudi Binladin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Bechtel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State Construction Engineering Corp (ME)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L&amp;T Construction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Orascom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Infrastructure Market Report ScopeBy Infrastructure SegmentTransportation Infrastructure | </w:t>
      </w:r>
    </w:p>
    <w:p>
      <w:pPr/>
      <w:r>
        <w:rPr>
          <w:rFonts w:ascii="Helvetica Light" w:hAnsi="Helvetica Light" w:cs="Helvetica Light"/>
          <w:sz w:val="24"/>
          <w:sz-cs w:val="24"/>
        </w:rPr>
        <w:t xml:space="preserve">Utilities Infrastructure | </w:t>
      </w:r>
    </w:p>
    <w:p>
      <w:pPr/>
      <w:r>
        <w:rPr>
          <w:rFonts w:ascii="Helvetica Light" w:hAnsi="Helvetica Light" w:cs="Helvetica Light"/>
          <w:sz w:val="24"/>
          <w:sz-cs w:val="24"/>
        </w:rPr>
        <w:t xml:space="preserve">Social Infrastructure | </w:t>
      </w:r>
    </w:p>
    <w:p>
      <w:pPr/>
      <w:r>
        <w:rPr>
          <w:rFonts w:ascii="Helvetica Light" w:hAnsi="Helvetica Light" w:cs="Helvetica Light"/>
          <w:sz w:val="24"/>
          <w:sz-cs w:val="24"/>
        </w:rPr>
        <w:t xml:space="preserve">Extraction Infrastructure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CountriesSaudi Arabia | </w:t>
      </w:r>
    </w:p>
    <w:p>
      <w:pPr/>
      <w:r>
        <w:rPr>
          <w:rFonts w:ascii="Helvetica Light" w:hAnsi="Helvetica Light" w:cs="Helvetica Light"/>
          <w:sz w:val="24"/>
          <w:sz-cs w:val="24"/>
        </w:rPr>
        <w:t xml:space="preserve">United Arab Emirates | </w:t>
      </w:r>
    </w:p>
    <w:p>
      <w:pPr/>
      <w:r>
        <w:rPr>
          <w:rFonts w:ascii="Helvetica Light" w:hAnsi="Helvetica Light" w:cs="Helvetica Light"/>
          <w:sz w:val="24"/>
          <w:sz-cs w:val="24"/>
        </w:rPr>
        <w:t xml:space="preserve">Qatar | </w:t>
      </w:r>
    </w:p>
    <w:p>
      <w:pPr/>
      <w:r>
        <w:rPr>
          <w:rFonts w:ascii="Helvetica Light" w:hAnsi="Helvetica Light" w:cs="Helvetica Light"/>
          <w:sz w:val="24"/>
          <w:sz-cs w:val="24"/>
        </w:rPr>
        <w:t xml:space="preserve">Kuwait | </w:t>
      </w:r>
    </w:p>
    <w:p>
      <w:pPr/>
      <w:r>
        <w:rPr>
          <w:rFonts w:ascii="Helvetica Light" w:hAnsi="Helvetica Light" w:cs="Helvetica Light"/>
          <w:sz w:val="24"/>
          <w:sz-cs w:val="24"/>
        </w:rPr>
        <w:t xml:space="preserve">Oman | </w:t>
      </w:r>
    </w:p>
    <w:p>
      <w:pPr/>
      <w:r>
        <w:rPr>
          <w:rFonts w:ascii="Helvetica Light" w:hAnsi="Helvetica Light" w:cs="Helvetica Light"/>
          <w:sz w:val="24"/>
          <w:sz-cs w:val="24"/>
        </w:rPr>
        <w:t xml:space="preserve">Bahrain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GCC infrastructure market in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GCC infrastructure market is forecast to reach USD 54.2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within GCC infrastructure?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Utilities infrastructure is projected to post a 6.44% CAGR, making it the fastest-growing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dominant is public funding in GCC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Public sources financed 74.7% of contracts in 2024, although private investment is gaining momentum under revised PPP laws.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GCC country will grow its infrastructure spending quickest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is expected to register the fastest 7.03% CAGR due to the North Field expansion and associated transport upgrades.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