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Banking As A Service (BaaS)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[https://www.mordorintelligence.com/industry-reports/global-banking-as-a-service-market](https://www.mordorintelligence.com/industry-reports/global-banking-as-a-service-market)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28.96 billion |</w:t>
      </w:r>
    </w:p>
    <w:p>
      <w:pPr/>
      <w:r>
        <w:rPr>
          <w:rFonts w:ascii="Helvetica Light" w:hAnsi="Helvetica Light" w:cs="Helvetica Light"/>
          <w:sz w:val="24"/>
          <w:sz-cs w:val="24"/>
        </w:rPr>
        <w:t xml:space="preserve">| **Projected Forecast (2031)** | USD 28.96 billion |</w:t>
      </w:r>
    </w:p>
    <w:p>
      <w:pPr/>
      <w:r>
        <w:rPr>
          <w:rFonts w:ascii="Helvetica Light" w:hAnsi="Helvetica Light" w:cs="Helvetica Light"/>
          <w:sz w:val="24"/>
          <w:sz-cs w:val="24"/>
        </w:rPr>
        <w:t xml:space="preserve">| **Growth Rate (CAGR)** | 17.83 %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Banking As A Service (BaaS)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![Banking As A Service (BaaS)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![Banking As A Service (BaaS)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![Banking As A Service (BaaS)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![Banking As A Service (BaaS)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![Banking As A Service (BaaS)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28.96 Billion | </w:t>
      </w:r>
    </w:p>
    <w:p>
      <w:pPr/>
      <w:r>
        <w:rPr>
          <w:rFonts w:ascii="Helvetica Light" w:hAnsi="Helvetica Light" w:cs="Helvetica Light"/>
          <w:sz w:val="24"/>
          <w:sz-cs w:val="24"/>
        </w:rPr>
        <w:t xml:space="preserve">Market Size (2031) | USD 65.78 Billion | </w:t>
      </w:r>
    </w:p>
    <w:p>
      <w:pPr/>
      <w:r>
        <w:rPr>
          <w:rFonts w:ascii="Helvetica Light" w:hAnsi="Helvetica Light" w:cs="Helvetica Light"/>
          <w:sz w:val="24"/>
          <w:sz-cs w:val="24"/>
        </w:rPr>
        <w:t xml:space="preserve">Growth Rate (2026 - 2031) | 17.83 %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Banking As A Service (BaaS) Market Analysis by Mordor IntelligenceThe banking as a service market size is USD 28.96 billion in 2026 and is projected to reach USD 65.78 billion by 2031 at a 17.83% CAGR. This trajectory reflects a structural shift as ISO 20022 adoption standardizes payment messaging and compresses integration timelines for bank connectivity via APIs. Growth also aligns with open banking mandates that normalize permissioned data sharing and expand developer access to account and payment functionality across regions. Embedded finance models are scaling within vertical software and marketplace platforms, which monetize financial workflows such as acceptance, payouts, and working capital without carrying licenses. Instant payment infrastructure and data portability rules are reinforcing this platform-led distribution of financial services across the banking-as-a-service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Payment Gateway led with 33.79% of the banking as a service market share in 2025, while Embedded Finance Software is forecasted to expand at a 22.12% CAGR to 2031.</w:t>
      </w:r>
    </w:p>
    <w:p>
      <w:pPr/>
      <w:r>
        <w:rPr>
          <w:rFonts w:ascii="Helvetica Light" w:hAnsi="Helvetica Light" w:cs="Helvetica Light"/>
          <w:sz w:val="24"/>
          <w:sz-cs w:val="24"/>
        </w:rPr>
        <w:t xml:space="preserve">* By enterprise size, Large Enterprises held 62.18% of the banking as a service market share in 2025, while Small and Medium Enterprises recorded the highest projected CAGR at 20.42% through 2031.</w:t>
      </w:r>
    </w:p>
    <w:p>
      <w:pPr/>
      <w:r>
        <w:rPr>
          <w:rFonts w:ascii="Helvetica Light" w:hAnsi="Helvetica Light" w:cs="Helvetica Light"/>
          <w:sz w:val="24"/>
          <w:sz-cs w:val="24"/>
        </w:rPr>
        <w:t xml:space="preserve">* By end user, Fintech Corporations accounted for 44.52% of the banking as a service market share in 2025 and are advancing at a 21.56% CAGR through 2031. </w:t>
      </w:r>
    </w:p>
    <w:p>
      <w:pPr/>
      <w:r>
        <w:rPr>
          <w:rFonts w:ascii="Helvetica Light" w:hAnsi="Helvetica Light" w:cs="Helvetica Light"/>
          <w:sz w:val="24"/>
          <w:sz-cs w:val="24"/>
        </w:rPr>
        <w:t xml:space="preserve">* By component, Platform and Infrastructure commanded 55.09% of the banking as a service market share in 2025, while the Services segment is projected to grow at a 19.68% CAGR through 2031.</w:t>
      </w:r>
    </w:p>
    <w:p>
      <w:pPr/>
      <w:r>
        <w:rPr>
          <w:rFonts w:ascii="Helvetica Light" w:hAnsi="Helvetica Light" w:cs="Helvetica Light"/>
          <w:sz w:val="24"/>
          <w:sz-cs w:val="24"/>
        </w:rPr>
        <w:t xml:space="preserve">* By geography, North America held 35.33% of the banking as a service market share in 2025, while Asia-Pacific is forecast to grow at 21.05%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Banking As A Service (BaaS)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adoption of open-banking regulations | +3.2% | Global, with early concentration in the United Kingdom, the EU, India, and emerging in Canada, Australia | Medium term (2-4 years) | </w:t>
      </w:r>
    </w:p>
    <w:p>
      <w:pPr/>
      <w:r>
        <w:rPr>
          <w:rFonts w:ascii="Helvetica Light" w:hAnsi="Helvetica Light" w:cs="Helvetica Light"/>
          <w:sz w:val="24"/>
          <w:sz-cs w:val="24"/>
        </w:rPr>
        <w:t xml:space="preserve">Digital transformation initiatives among incumbent banks | +2.8% | Global, particularly North America, Europe, and Japan | Medium term (2-4 years) | </w:t>
      </w:r>
    </w:p>
    <w:p>
      <w:pPr/>
      <w:r>
        <w:rPr>
          <w:rFonts w:ascii="Helvetica Light" w:hAnsi="Helvetica Light" w:cs="Helvetica Light"/>
          <w:sz w:val="24"/>
          <w:sz-cs w:val="24"/>
        </w:rPr>
        <w:t xml:space="preserve">Shift toward embedded-finance revenue models | +4.1% | North America and Europe lead, spilling over to Latin America and the Asia-Pacific core | Long term (≥ 4 years) | </w:t>
      </w:r>
    </w:p>
    <w:p>
      <w:pPr/>
      <w:r>
        <w:rPr>
          <w:rFonts w:ascii="Helvetica Light" w:hAnsi="Helvetica Light" w:cs="Helvetica Light"/>
          <w:sz w:val="24"/>
          <w:sz-cs w:val="24"/>
        </w:rPr>
        <w:t xml:space="preserve">API standardization lowers integration costs | +2.5% | Global, with ISO 20022 adoption in 70+ countries | Short term (≤ 2 years) | </w:t>
      </w:r>
    </w:p>
    <w:p>
      <w:pPr/>
      <w:r>
        <w:rPr>
          <w:rFonts w:ascii="Helvetica Light" w:hAnsi="Helvetica Light" w:cs="Helvetica Light"/>
          <w:sz w:val="24"/>
          <w:sz-cs w:val="24"/>
        </w:rPr>
        <w:t xml:space="preserve">Surging VC funding for BaaS infrastructure start-ups | +2.3% | Concentrated in the United States, the United Kingdom, the United Arab Emirates, Singapore, and emerging in Mexico and Brazil | Medium term (2-4 years) | </w:t>
      </w:r>
    </w:p>
    <w:p>
      <w:pPr/>
      <w:r>
        <w:rPr>
          <w:rFonts w:ascii="Helvetica Light" w:hAnsi="Helvetica Light" w:cs="Helvetica Light"/>
          <w:sz w:val="24"/>
          <w:sz-cs w:val="24"/>
        </w:rPr>
        <w:t xml:space="preserve">Generative-AI-driven hyper-personalization of financial products | +2.9% | North America, Europe, select Asia-Pacific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intensity in the banking as a service market is moderate, with scale incumbents anchoring sponsor relationships and specialist platforms differentiating on composability and time to value. Incumbents leverage card-network certifications, core processing breadth, and proven compliance operations to serve banks and larger fintechs. Specialist banks and platforms offer configurable modules for issuing, account management, onboarding, compliance, and fraud that help clients assemble only the services they need. The result is a market where breadth of capability coexists with specialization, supporting a wide range of use cases across consumer, SME, and enterprise flows. As sponsors and regulators demand stronger controls and auditability, providers that combine infrastructure with compliance services are positioned to win.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in 2025 reinforced consolidation and platform expansion themes that shape the banking-as-a-service market. Fiserv completed its acquisition of StoneCastle Cash Management, adding deposit-network capabilities that support commercial treasury needs. FIS and Episode Six launched an international issuing hub that enables multi-currency, multi-market card programs from a single integration. ClearBank partnered with Circle to enable stablecoin acceptance and disbursements for European clients, an offering that expands options for near-instant settlement. U.S. Bank expanded embedded payments APIs for issuing, acquiring, and real-time payouts that target independent software vendors in priority verticals. Starling Bank’s Engine supported rapid launches and customer growth at partner institutions, demonstrating how modern cores compress time to market across regions.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and operational resilience requirements are shaping investment and vendor selection criteria across the banking as a service market. DORA’s implementation tightened expectations for incident reporting, testing, and oversight of critical ICT providers. U.S. supervisory guidance clarified accountability for outsourced activities and increased the rigor of third-party risk management for sponsor banks and fintech partners. AML enforcement activity in 2025 highlighted the need for continuous monitoring, sanctions screening, and auditable workflows that scale during onboarding and peak demand. Announced restructurings, such as Green Dot’s separation of bank and non-bank operations, show how firms are aligning legal entities to better serve regulated client needs at scale. Partnerships and product launches that improve speed, coverage, and compliance will continue to define competitive differentiation through the forecast period.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Banking As A Service (BaaS) Industry Leaders* Solaris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ClearBank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Green Dot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Intergiro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Weavr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counts the revenues earned when regulated banking capabilities are delivered through API or cloud based setups, so third party brands can embed accounts, payments, cards, lending, and related compliance into their own customer journeys.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stand-alone data aggregators and pure connectivity tools that do not support regulated banking activity.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Payment Gateway</w:t>
      </w:r>
    </w:p>
    <w:p>
      <w:pPr/>
      <w:r>
        <w:rPr>
          <w:rFonts w:ascii="Helvetica Light" w:hAnsi="Helvetica Light" w:cs="Helvetica Light"/>
          <w:sz w:val="24"/>
          <w:sz-cs w:val="24"/>
        </w:rPr>
        <w:t xml:space="preserve">* Bank Account/Core Banking</w:t>
      </w:r>
    </w:p>
    <w:p>
      <w:pPr/>
      <w:r>
        <w:rPr>
          <w:rFonts w:ascii="Helvetica Light" w:hAnsi="Helvetica Light" w:cs="Helvetica Light"/>
          <w:sz w:val="24"/>
          <w:sz-cs w:val="24"/>
        </w:rPr>
        <w:t xml:space="preserve">* Lending and Credit Services</w:t>
      </w:r>
    </w:p>
    <w:p>
      <w:pPr/>
      <w:r>
        <w:rPr>
          <w:rFonts w:ascii="Helvetica Light" w:hAnsi="Helvetica Light" w:cs="Helvetica Light"/>
          <w:sz w:val="24"/>
          <w:sz-cs w:val="24"/>
        </w:rPr>
        <w:t xml:space="preserve">* Embedded Finance Software</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Enterprise Size* Large Enterprises</w:t>
      </w:r>
    </w:p>
    <w:p>
      <w:pPr/>
      <w:r>
        <w:rPr>
          <w:rFonts w:ascii="Helvetica Light" w:hAnsi="Helvetica Light" w:cs="Helvetica Light"/>
          <w:sz w:val="24"/>
          <w:sz-cs w:val="24"/>
        </w:rPr>
        <w:t xml:space="preserve">* Small &amp; Medium Enterprises (SMEs)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Banks</w:t>
      </w:r>
    </w:p>
    <w:p>
      <w:pPr/>
      <w:r>
        <w:rPr>
          <w:rFonts w:ascii="Helvetica Light" w:hAnsi="Helvetica Light" w:cs="Helvetica Light"/>
          <w:sz w:val="24"/>
          <w:sz-cs w:val="24"/>
        </w:rPr>
        <w:t xml:space="preserve">* Fintech Corporations</w:t>
      </w:r>
    </w:p>
    <w:p>
      <w:pPr/>
      <w:r>
        <w:rPr>
          <w:rFonts w:ascii="Helvetica Light" w:hAnsi="Helvetica Light" w:cs="Helvetica Light"/>
          <w:sz w:val="24"/>
          <w:sz-cs w:val="24"/>
        </w:rPr>
        <w:t xml:space="preserve">* Other End 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Platform / Infrastructure</w:t>
      </w:r>
    </w:p>
    <w:p>
      <w:pPr/>
      <w:r>
        <w:rPr>
          <w:rFonts w:ascii="Helvetica Light" w:hAnsi="Helvetica Light" w:cs="Helvetica Light"/>
          <w:sz w:val="24"/>
          <w:sz-cs w:val="24"/>
        </w:rPr>
        <w:t xml:space="preserve">* Services (Compliance, KYC, Fraud,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(Sweden, Norway, Denmark, Finland, and Iceland)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 (Singapore, Indonesia, Malaysia, Thailand,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and growth outlook for the banking as a service market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banking as a service market size is USD 28.96 billion in 2026 and is projected to reach USD 65.78 billion by 2031 at a 17.83%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types lead adoption in banking as a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Gateway led with 33.79% share in 2025, while Embedded Finance Software is the fastest growing with a 22.12%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primary end users driving demand for banking as a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Fintech Corporations accounted for a 44.52% share in 2025 and are forecast to grow at a 21.56% CAGR through 2031, supported by rapid launches of issuing, accounts, and instant transfers.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most important for near-term banking as a service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a 35.33% share in 2025, and Asia-Pacific is forecast to grow at a 21.05% CAGR through 2031, driven by instant payments and open banking.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regulatory themes shape banking as a service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ISO 20022 migrations, open-banking frameworks, and operational resilience mandates like DORA drive API reliability, data portability, and incident management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recent moves signal competitive shifts in banking as a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Fiserv's StoneCastle deal, FIS's international issuing hub launch, and ClearBank's Circle partnership reflect consolidation and product expansion focused on scale and speed.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