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Casino Hotels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[https://www.mordorintelligence.com/industry-reports/global-casino-hotels-market](https://www.mordorintelligence.com/industry-reports/global-casino-hotels-market)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165.17 billion |</w:t>
      </w:r>
    </w:p>
    <w:p>
      <w:pPr/>
      <w:r>
        <w:rPr>
          <w:rFonts w:ascii="Helvetica Light" w:hAnsi="Helvetica Light" w:cs="Helvetica Light"/>
          <w:sz w:val="24"/>
          <w:sz-cs w:val="24"/>
        </w:rPr>
        <w:t xml:space="preserve">| **Projected Forecast (2031)** | USD 165.17 billion |</w:t>
      </w:r>
    </w:p>
    <w:p>
      <w:pPr/>
      <w:r>
        <w:rPr>
          <w:rFonts w:ascii="Helvetica Light" w:hAnsi="Helvetica Light" w:cs="Helvetica Light"/>
          <w:sz w:val="24"/>
          <w:sz-cs w:val="24"/>
        </w:rPr>
        <w:t xml:space="preserve">| **Growth Rate (CAGR)** | 5.05 %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Casino Hotels Market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Hotels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Hotels Market :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Hotels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Hotels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165.17 Billion | </w:t>
      </w:r>
    </w:p>
    <w:p>
      <w:pPr/>
      <w:r>
        <w:rPr>
          <w:rFonts w:ascii="Helvetica Light" w:hAnsi="Helvetica Light" w:cs="Helvetica Light"/>
          <w:sz w:val="24"/>
          <w:sz-cs w:val="24"/>
        </w:rPr>
        <w:t xml:space="preserve">Market Size (2031) | USD 211.26 Billion | </w:t>
      </w:r>
    </w:p>
    <w:p>
      <w:pPr/>
      <w:r>
        <w:rPr>
          <w:rFonts w:ascii="Helvetica Light" w:hAnsi="Helvetica Light" w:cs="Helvetica Light"/>
          <w:sz w:val="24"/>
          <w:sz-cs w:val="24"/>
        </w:rPr>
        <w:t xml:space="preserve">Growth Rate (2026 - 2031) | 5.05 %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Hotels Market Analysis by Mordor IntelligenceThe casino hotels market size is expected to grow from USD 157.23 billion in 2025 to USD 165.17 billion in 2026 and is forecast to reach USD 211.26 billion by 2031 at 5.05% CAGR over 2026-2031. The casino hotels market benefits from pent-up leisure demand, destination marketing, and new regulatory openings. Operators are deploying asset-light digital capabilities, rolling out AI-driven pricing engines, and intensifying loyalty-program linkages to capture higher customer lifetime value. Integrated resort pipelines in the UAE, Greece, and Thailand highlight investors’ appetite for multi-use entertainment districts, while established hubs such as Las Vegas continue to surpass pre-pandemic gaming revenue records. Supply discipline, targeted renovation,s and disciplined cost controls support margin resilience, even as wage and utility costs rise in major markets.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stand-alone properties led with 35.68% revenue in 2025, whereas integrated resorts are set to expand at 7.02% CAGR through 2031 in the casino hotels market. </w:t>
      </w:r>
    </w:p>
    <w:p>
      <w:pPr/>
      <w:r>
        <w:rPr>
          <w:rFonts w:ascii="Helvetica Light" w:hAnsi="Helvetica Light" w:cs="Helvetica Light"/>
          <w:sz w:val="24"/>
          <w:sz-cs w:val="24"/>
        </w:rPr>
        <w:t xml:space="preserve">* By revenue source, gaming held 46.25% of the casino hotels market share in 2025; non-gaming is growing at 8.28% CAGR to 2031. </w:t>
      </w:r>
    </w:p>
    <w:p>
      <w:pPr/>
      <w:r>
        <w:rPr>
          <w:rFonts w:ascii="Helvetica Light" w:hAnsi="Helvetica Light" w:cs="Helvetica Light"/>
          <w:sz w:val="24"/>
          <w:sz-cs w:val="24"/>
        </w:rPr>
        <w:t xml:space="preserve">* By star rating, luxury hotels accounted for 60.67% of the casino hotels market size in 2025 and are advancing at 7.42% CAGR. </w:t>
      </w:r>
    </w:p>
    <w:p>
      <w:pPr/>
      <w:r>
        <w:rPr>
          <w:rFonts w:ascii="Helvetica Light" w:hAnsi="Helvetica Light" w:cs="Helvetica Light"/>
          <w:sz w:val="24"/>
          <w:sz-cs w:val="24"/>
        </w:rPr>
        <w:t xml:space="preserve">* By geography, North America commanded 42.10% revenue share in 2025, while Asia-Pacific is forecast to post the fastest 7.95% CAGR in the casino hotels market. </w:t>
      </w:r>
    </w:p>
    <w:p>
      <w:pPr/>
      <w:r>
        <w:rPr>
          <w:rFonts w:ascii="Helvetica Light" w:hAnsi="Helvetica Light" w:cs="Helvetica Light"/>
          <w:sz w:val="24"/>
          <w:sz-cs w:val="24"/>
        </w:rPr>
        <w:t xml:space="preserve">* Five leading operators, MGM Resorts, Las Vegas Sands, Caesars Entertainment, Wynn Resorts, and Galaxy Entertainment, collectively controlled a dominant position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Casino Hotels Market *Driver | (~) % Impact on CAGR Forecast | Geographic Relevance | Impact Timeline | </w:t>
      </w:r>
    </w:p>
    <w:p>
      <w:pPr/>
      <w:r>
        <w:rPr>
          <w:rFonts w:ascii="Helvetica Light" w:hAnsi="Helvetica Light" w:cs="Helvetica Light"/>
          <w:sz w:val="24"/>
          <w:sz-cs w:val="24"/>
        </w:rPr>
        <w:t xml:space="preserve">Rising legalization of casino gambling in emerging markets | +1.2% | Asia-Pacific, Latin America, Middle East | Medium term (2-4 years) | </w:t>
      </w:r>
    </w:p>
    <w:p>
      <w:pPr/>
      <w:r>
        <w:rPr>
          <w:rFonts w:ascii="Helvetica Light" w:hAnsi="Helvetica Light" w:cs="Helvetica Light"/>
          <w:sz w:val="24"/>
          <w:sz-cs w:val="24"/>
        </w:rPr>
        <w:t xml:space="preserve">Recovery and growth in international tourism post-pandemic | +0.9% | Global, with concentration in Asia-Pacific and Europe | Short term (≤ 2 years) | </w:t>
      </w:r>
    </w:p>
    <w:p>
      <w:pPr/>
      <w:r>
        <w:rPr>
          <w:rFonts w:ascii="Helvetica Light" w:hAnsi="Helvetica Light" w:cs="Helvetica Light"/>
          <w:sz w:val="24"/>
          <w:sz-cs w:val="24"/>
        </w:rPr>
        <w:t xml:space="preserve">Integrated resorts' diversified non-gaming revenue streams | +0.8% | Global, led by Asia-Pacific and North America | Long term (≥ 4 years) | </w:t>
      </w:r>
    </w:p>
    <w:p>
      <w:pPr/>
      <w:r>
        <w:rPr>
          <w:rFonts w:ascii="Helvetica Light" w:hAnsi="Helvetica Light" w:cs="Helvetica Light"/>
          <w:sz w:val="24"/>
          <w:sz-cs w:val="24"/>
        </w:rPr>
        <w:t xml:space="preserve">Advanced data analytics &amp; AI optimizing total-revenue management | +0.6% | North America, Europe, developed APAC markets | Medium term (2-4 years) | </w:t>
      </w:r>
    </w:p>
    <w:p>
      <w:pPr/>
      <w:r>
        <w:rPr>
          <w:rFonts w:ascii="Helvetica Light" w:hAnsi="Helvetica Light" w:cs="Helvetica Light"/>
          <w:sz w:val="24"/>
          <w:sz-cs w:val="24"/>
        </w:rPr>
        <w:t xml:space="preserve">Growing demand for e-sports &amp; experiential MICE at casino resorts | +0.4% | North America, Europe, urban Asia-Pacific | Long term (≥ 4 years) | </w:t>
      </w:r>
    </w:p>
    <w:p>
      <w:pPr/>
      <w:r>
        <w:rPr>
          <w:rFonts w:ascii="Helvetica Light" w:hAnsi="Helvetica Light" w:cs="Helvetica Light"/>
          <w:sz w:val="24"/>
          <w:sz-cs w:val="24"/>
        </w:rPr>
        <w:t xml:space="preserve">Government-led destination mega-projects attracting investment | +0.7% | Middle East, Southeast Asia, selected Latin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casino hotel market is moderately concentrated. The top five groups, MGM Resorts, Las Vegas Sands, Caesars Entertainment, Wynn Resorts, and Galaxy Entertainment, leveraged scale advantages in loyalty ecosystems, data analytics, and balance-sheet strength to safeguard share. MGM Resorts posted a record USD 17.2 billion in 2024 revenue, buoyed by 94% Strip occupancy[3]Source: MGM Resorts, “2024 Annual Report,” mgmresorts.com. Wynn Resorts secured USD 2.4 billion in financing for its UAE resort, the largest single hospitality financing in the Gulf.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M&amp;A appetite is underscored by Bally’s USD 4.6 billion go-private transaction with Standard General and Boyd Gaming’s approach to Penn Entertainment. Asset-light REIT structures, typified by VICI Properties’ USD 300 million One Beverly Hills investment, illustrate investors’ preference for stable triple-net leases. Technology adoption is a competitive differentiator: Caesars’ dynamic pricing engine lifted blended ADR 6% in 2024, while Galaxy Entertainment integrated facial recognition boarding in its Cotai VIP entrances.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in newly legal markets reward operators with proven regulatory-engagement track records. Thailand’s THB 100 billion capital bar will favor global giants over local newcomers. Brazil’s BRL 30 million capitalization rule is modest by international standards, potentially fostering a fragmented field ripe for roll-ups within five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Hotels Industry Leaders* Las Vegas Sands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MGM Resorts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Caesars Entertainment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Galaxy Entertainment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Wynn Resorts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covers the revenues generated by properties that combine paid lodging with on-site casino gaming, where the hotel and gaming operations are positioned together as one guest destination.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does not count standalone casinos without lodging, cruise ship casinos, online gambling, or pure hotel stays where gaming is not offered on the same property.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Integrated-Resort Casino Hotels</w:t>
      </w:r>
    </w:p>
    <w:p>
      <w:pPr/>
      <w:r>
        <w:rPr>
          <w:rFonts w:ascii="Helvetica Light" w:hAnsi="Helvetica Light" w:cs="Helvetica Light"/>
          <w:sz w:val="24"/>
          <w:sz-cs w:val="24"/>
        </w:rPr>
        <w:t xml:space="preserve">* Stand-Alone Casino Hotels</w:t>
      </w:r>
    </w:p>
    <w:p>
      <w:pPr/>
      <w:r>
        <w:rPr>
          <w:rFonts w:ascii="Helvetica Light" w:hAnsi="Helvetica Light" w:cs="Helvetica Light"/>
          <w:sz w:val="24"/>
          <w:sz-cs w:val="24"/>
        </w:rPr>
        <w:t xml:space="preserve">* Tribal Casino Hotels</w:t>
      </w:r>
    </w:p>
    <w:p>
      <w:pPr/>
      <w:r>
        <w:rPr>
          <w:rFonts w:ascii="Helvetica Light" w:hAnsi="Helvetica Light" w:cs="Helvetica Light"/>
          <w:sz w:val="24"/>
          <w:sz-cs w:val="24"/>
        </w:rPr>
        <w:t xml:space="preserve">* Cruise &amp; Riverboat Casino Hotels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Revenue Source* Gaming Revenue</w:t>
      </w:r>
    </w:p>
    <w:p>
      <w:pPr/>
      <w:r>
        <w:rPr>
          <w:rFonts w:ascii="Helvetica Light" w:hAnsi="Helvetica Light" w:cs="Helvetica Light"/>
          <w:sz w:val="24"/>
          <w:sz-cs w:val="24"/>
        </w:rPr>
        <w:t xml:space="preserve">* Non-Gaming Revenue* Rooms</w:t>
      </w:r>
    </w:p>
    <w:p>
      <w:pPr/>
      <w:r>
        <w:rPr>
          <w:rFonts w:ascii="Helvetica Light" w:hAnsi="Helvetica Light" w:cs="Helvetica Light"/>
          <w:sz w:val="24"/>
          <w:sz-cs w:val="24"/>
        </w:rPr>
        <w:t xml:space="preserve">* Food &amp; Beverage</w:t>
      </w:r>
    </w:p>
    <w:p>
      <w:pPr/>
      <w:r>
        <w:rPr>
          <w:rFonts w:ascii="Helvetica Light" w:hAnsi="Helvetica Light" w:cs="Helvetica Light"/>
          <w:sz w:val="24"/>
          <w:sz-cs w:val="24"/>
        </w:rPr>
        <w:t xml:space="preserve">* Entertainment &amp;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Star Rating* Luxury</w:t>
      </w:r>
    </w:p>
    <w:p>
      <w:pPr/>
      <w:r>
        <w:rPr>
          <w:rFonts w:ascii="Helvetica Light" w:hAnsi="Helvetica Light" w:cs="Helvetica Light"/>
          <w:sz w:val="24"/>
          <w:sz-cs w:val="24"/>
        </w:rPr>
        <w:t xml:space="preserve">* Upper-Upscale</w:t>
      </w:r>
    </w:p>
    <w:p>
      <w:pPr/>
      <w:r>
        <w:rPr>
          <w:rFonts w:ascii="Helvetica Light" w:hAnsi="Helvetica Light" w:cs="Helvetica Light"/>
          <w:sz w:val="24"/>
          <w:sz-cs w:val="24"/>
        </w:rPr>
        <w:t xml:space="preserve">* Midscale</w:t>
      </w:r>
    </w:p>
    <w:p>
      <w:pPr/>
      <w:r>
        <w:rPr>
          <w:rFonts w:ascii="Helvetica Light" w:hAnsi="Helvetica Light" w:cs="Helvetica Light"/>
          <w:sz w:val="24"/>
          <w:sz-cs w:val="24"/>
        </w:rPr>
        <w:t xml:space="preserve">* Economy &amp; Budget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 Traveller Type* Domestic Leisure Travellers</w:t>
      </w:r>
    </w:p>
    <w:p>
      <w:pPr/>
      <w:r>
        <w:rPr>
          <w:rFonts w:ascii="Helvetica Light" w:hAnsi="Helvetica Light" w:cs="Helvetica Light"/>
          <w:sz w:val="24"/>
          <w:sz-cs w:val="24"/>
        </w:rPr>
        <w:t xml:space="preserve">* International Leisure Travellers</w:t>
      </w:r>
    </w:p>
    <w:p>
      <w:pPr/>
      <w:r>
        <w:rPr>
          <w:rFonts w:ascii="Helvetica Light" w:hAnsi="Helvetica Light" w:cs="Helvetica Light"/>
          <w:sz w:val="24"/>
          <w:sz-cs w:val="24"/>
        </w:rPr>
        <w:t xml:space="preserve">* Business &amp; MICE Travellers</w:t>
      </w:r>
    </w:p>
    <w:p>
      <w:pPr/>
      <w:r>
        <w:rPr>
          <w:rFonts w:ascii="Helvetica Light" w:hAnsi="Helvetica Light" w:cs="Helvetica Light"/>
          <w:sz w:val="24"/>
          <w:sz-cs w:val="24"/>
        </w:rPr>
        <w:t xml:space="preserve">* High-Roller / VIP Gamers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casino hotels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casino hotels market stood at USD 165.17 billion in 2026 and is projected to climb to USD 211.26 billion by 2031 at a 5.05%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type of casino hotel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Integrated resorts are growing the quickest, advancing at 7.02% CAGR thanks to diversified non-gaming revenue streams and larger average spend per guest.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Casino Hotels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estimated to grow at the highest CAGR over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considered the main growth engine?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combines Macau's rebound, new legal markets in Thailand and the UAE and rising middle-class incomes, resulting in an 7.95% regional CAGR forecast.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important is non-gaming revenue for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Non-gaming revenue is expanding at 8.28% CAGR; each incremental point in its share typically improves margins while reducing dependence on table-game volumes.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companies dominate the casino hotels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MGM Resorts, Las Vegas Sands, Caesars Entertainment, Wynn Resorts and Galaxy Entertainment collectively hold the largest share through scale, loyalty programs and global expansion.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